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40A" w14:textId="77777777" w:rsidR="0006493D" w:rsidRDefault="0006493D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0A068D" w14:textId="77777777" w:rsidR="0006493D" w:rsidRDefault="0006493D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2FE3C0AA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1"/>
          <w:szCs w:val="21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03 Hydref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6B5E0F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543D6241" w:rsidR="00C72916" w:rsidRPr="00DA67C5" w:rsidRDefault="00C72916" w:rsidP="00BC0160">
      <w:pPr>
        <w:pStyle w:val="paragraph"/>
        <w:spacing w:before="0" w:beforeAutospacing="0" w:after="160" w:afterAutospacing="0"/>
        <w:jc w:val="both"/>
        <w:textAlignment w:val="baseline"/>
        <w:rPr>
          <w:rFonts w:ascii="&amp;quot" w:hAnsi="&amp;quot"/>
          <w:sz w:val="23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D436FF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2E5DA170" w14:textId="4545416A" w:rsidR="002C375B" w:rsidRPr="00C96DD0" w:rsidRDefault="004C065E" w:rsidP="00C96DD0">
      <w:pPr>
        <w:pStyle w:val="paragraph"/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Style w:val="normaltextrun"/>
          <w:rFonts w:ascii="Calibri" w:hAnsi="Calibri"/>
        </w:rPr>
        <w:t>Fe wnaethoch chi ofyn am yr wybodaeth ganlynol:</w:t>
      </w:r>
      <w:r>
        <w:rPr>
          <w:rStyle w:val="normaltextrun"/>
          <w:rFonts w:ascii="Calibri" w:hAnsi="Calibri"/>
          <w:b/>
        </w:rPr>
        <w:t> </w:t>
      </w:r>
      <w:r>
        <w:rPr>
          <w:rFonts w:asciiTheme="minorHAnsi" w:hAnsiTheme="minorHAnsi"/>
          <w:i/>
          <w:sz w:val="22"/>
        </w:rPr>
        <w:t>cost noddi’r tywydd ar I T V Cymru</w:t>
      </w:r>
    </w:p>
    <w:p w14:paraId="0BCBD2EC" w14:textId="61D00E70" w:rsidR="00133E41" w:rsidRDefault="00815EE1" w:rsidP="00133E41">
      <w:r>
        <w:t xml:space="preserve">Ar ôl adolygu eich cwestiwn, rydym wedi penderfynu bod yr wybodaeth hon yn fasnachol sensitif a rydym wedi cymhwyso A43(2) (Niwed i Fuddiannau Masnachol) Deddf Rhyddid Gwybodaeth (2000). Mae hyn yn eithrio gwybodaeth y byddai ei datgelu yn, neu’n debygol o niweidio buddiannau masnachol unrhyw berson cyfreithiol (unigolyn, cwmni, yr awdurdod cyhoeddus ei hun neu unrhyw endid cyfreithiol arall).  </w:t>
      </w:r>
    </w:p>
    <w:p w14:paraId="25EDF6C8" w14:textId="77777777" w:rsidR="00900386" w:rsidRDefault="00133E41" w:rsidP="00900386">
      <w:r>
        <w:t xml:space="preserve">Mae defnyddio’r eithriad hwn yn amodol ar asesiad o fudd y cyhoedd mewn perthynas â datgelu’r wybodaeth dan sylw. Y dadleuon hynny o blaid datgelu yw: </w:t>
      </w:r>
    </w:p>
    <w:p w14:paraId="4E462CD8" w14:textId="77777777" w:rsidR="00900386" w:rsidRDefault="00900386" w:rsidP="00900386">
      <w:pPr>
        <w:pStyle w:val="ParagraffRhestr"/>
        <w:numPr>
          <w:ilvl w:val="0"/>
          <w:numId w:val="25"/>
        </w:numPr>
      </w:pPr>
      <w:r>
        <w:t xml:space="preserve">Tryloywder mewn perthynas â thrafodion masnachol – mae budd amlwg i’r cyhoedd o ran sicrhau bod trafodion masnachol yn cael eu gwneud ar sail fasnachol gystadleuol. </w:t>
      </w:r>
    </w:p>
    <w:p w14:paraId="220CC4D9" w14:textId="099FE708" w:rsidR="00900386" w:rsidRDefault="00900386" w:rsidP="006949A9">
      <w:pPr>
        <w:pStyle w:val="ParagraffRhestr"/>
        <w:numPr>
          <w:ilvl w:val="0"/>
          <w:numId w:val="25"/>
        </w:numPr>
      </w:pPr>
      <w:r>
        <w:t xml:space="preserve">Byddai datgelu’r wybodaeth y gofynnwyd amdani yn helpu i sicrhau’r cyhoedd bod y broses wedi’i chwblhau’n iawn. </w:t>
      </w:r>
    </w:p>
    <w:p w14:paraId="1810E789" w14:textId="6ECEB41C" w:rsidR="00900386" w:rsidRDefault="00900386" w:rsidP="00BC0160">
      <w:pPr>
        <w:pStyle w:val="ParagraffRhestr"/>
        <w:numPr>
          <w:ilvl w:val="0"/>
          <w:numId w:val="25"/>
        </w:numPr>
        <w:spacing w:after="160"/>
      </w:pPr>
      <w:r>
        <w:t xml:space="preserve">Hyrwyddo dealltwriaeth o benderfyniadau – gall datgelu hyrwyddo dealltwriaeth o’r broses a’r penderfyniad y mae TrC wedi’i wneud. </w:t>
      </w:r>
    </w:p>
    <w:p w14:paraId="33AB212A" w14:textId="4B4FB620" w:rsidR="00900386" w:rsidRDefault="00900386" w:rsidP="00BC0160">
      <w:pPr>
        <w:spacing w:after="60"/>
      </w:pPr>
      <w:r>
        <w:t>Y dadleuon hynny yn erbyn datgelu yw:</w:t>
      </w:r>
    </w:p>
    <w:p w14:paraId="4ECA1B70" w14:textId="6BF62A9A" w:rsidR="00900386" w:rsidRDefault="00900386" w:rsidP="00900386">
      <w:pPr>
        <w:pStyle w:val="ParagraffRhestr"/>
        <w:numPr>
          <w:ilvl w:val="0"/>
          <w:numId w:val="25"/>
        </w:numPr>
      </w:pPr>
      <w:r>
        <w:t>Mae gan ryddhau’r wybodaeth dan sylw botensial sylweddol i effeithio ar barodrwydd partïon i ddelio â TrC yn y dyfodol. Hyd yn oed pan fydd partïon yn delio â TrC, efallai na fyddant yn barod i ddatgelu gwybodaeth benodol oherwydd pryder y gallai gael ei datgelu. Ni fyddai hyn yn ffafriol i drafodaethau a thrafodion agored a thryloyw rhwng TrC a thrydydd partïon. Mae gan y cyhoedd ddiddordeb yn ffaith y gall TrC gynnal ei fusnes mewn modd priodol sy’n rhan annatod o’r gofyniad i sicrhau’r gwerth gorau a’r effeithlonrwydd gorau. Pe bai partïon yn anfodlon delio â TrC, byddai hyn yn ystumio prosesau negodi contractau neu gaffael a byddai’n niweidiol i sicrhau’r gwerth gorau a’r effeithlonrwydd gorau.</w:t>
      </w:r>
    </w:p>
    <w:p w14:paraId="5DCD4297" w14:textId="2F2E04F7" w:rsidR="00BC0160" w:rsidRDefault="00BC0160" w:rsidP="00BC0160">
      <w:pPr>
        <w:pStyle w:val="ParagraffRhestr"/>
        <w:numPr>
          <w:ilvl w:val="0"/>
          <w:numId w:val="25"/>
        </w:numPr>
        <w:spacing w:after="160"/>
      </w:pPr>
      <w:r>
        <w:t xml:space="preserve">Mae ITV yn gweithredu mewn amgylchedd masnachol. Gallai rhyddhau’r wybodaeth amharu ar fuddiannau ITV i gymryd rhan yn gystadleuol mewn gweithgarwch masnachol wrth negodi contractau nawdd eraill.  </w:t>
      </w:r>
    </w:p>
    <w:p w14:paraId="1B1F8707" w14:textId="5C704C0A" w:rsidR="00815EE1" w:rsidRPr="00D41ABA" w:rsidRDefault="00133E41" w:rsidP="00133E41">
      <w:r>
        <w:t xml:space="preserve">Mae Trafnidiaeth Cymru yn cydnabod yr angen i awdurdodau cyhoeddus fod yn agored ac yn dryloyw, ond yn yr achos hwn, gan y byddai datgelu’r wybodaeth hon yn debygol o niweidio gallu Trafnidiaeth Cymru i gael y gwerth gorau a gallu ITV i negodi’n fasnachol â chwmnïau eraill, ystyrir bod budd y cyhoedd yn ffafrio defnyddio’r eithriad. </w:t>
      </w:r>
    </w:p>
    <w:p w14:paraId="34D6C2AC" w14:textId="0D999E7A" w:rsidR="009765D2" w:rsidRPr="00DA67C5" w:rsidRDefault="00E53CC5" w:rsidP="00962DA6">
      <w:pPr>
        <w:spacing w:after="0"/>
      </w:pPr>
      <w:r>
        <w:t>Yn gywir,</w:t>
      </w:r>
    </w:p>
    <w:p w14:paraId="14F738B5" w14:textId="77777777" w:rsidR="00E04E8C" w:rsidRPr="00E04E8C" w:rsidRDefault="00E04E8C" w:rsidP="00962DA6">
      <w:pPr>
        <w:spacing w:after="0"/>
        <w:rPr>
          <w:b/>
          <w:bCs/>
          <w:color w:val="FF0000"/>
          <w:sz w:val="20"/>
          <w:szCs w:val="20"/>
        </w:rPr>
      </w:pPr>
    </w:p>
    <w:p w14:paraId="23C24ECD" w14:textId="6AD2D232" w:rsidR="009765D2" w:rsidRPr="006B5E0F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797DC627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671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8084" w14:textId="77777777" w:rsidR="00937B74" w:rsidRDefault="00937B74" w:rsidP="0029704C">
      <w:pPr>
        <w:spacing w:after="0" w:line="240" w:lineRule="auto"/>
      </w:pPr>
      <w:r>
        <w:separator/>
      </w:r>
    </w:p>
  </w:endnote>
  <w:endnote w:type="continuationSeparator" w:id="0">
    <w:p w14:paraId="63388726" w14:textId="77777777" w:rsidR="00937B74" w:rsidRDefault="00937B74" w:rsidP="0029704C">
      <w:pPr>
        <w:spacing w:after="0" w:line="240" w:lineRule="auto"/>
      </w:pPr>
      <w:r>
        <w:continuationSeparator/>
      </w:r>
    </w:p>
  </w:endnote>
  <w:endnote w:type="continuationNotice" w:id="1">
    <w:p w14:paraId="0D7A0AA7" w14:textId="77777777" w:rsidR="00937B74" w:rsidRDefault="00937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C3C5" w14:textId="77777777" w:rsidR="00937B74" w:rsidRDefault="00937B74" w:rsidP="0029704C">
      <w:pPr>
        <w:spacing w:after="0" w:line="240" w:lineRule="auto"/>
      </w:pPr>
      <w:r>
        <w:separator/>
      </w:r>
    </w:p>
  </w:footnote>
  <w:footnote w:type="continuationSeparator" w:id="0">
    <w:p w14:paraId="58A4E561" w14:textId="77777777" w:rsidR="00937B74" w:rsidRDefault="00937B74" w:rsidP="0029704C">
      <w:pPr>
        <w:spacing w:after="0" w:line="240" w:lineRule="auto"/>
      </w:pPr>
      <w:r>
        <w:continuationSeparator/>
      </w:r>
    </w:p>
  </w:footnote>
  <w:footnote w:type="continuationNotice" w:id="1">
    <w:p w14:paraId="383D54EC" w14:textId="77777777" w:rsidR="00937B74" w:rsidRDefault="00937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2161"/>
    <w:multiLevelType w:val="hybridMultilevel"/>
    <w:tmpl w:val="90D8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D5E"/>
    <w:multiLevelType w:val="hybridMultilevel"/>
    <w:tmpl w:val="C63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97CE7"/>
    <w:multiLevelType w:val="hybridMultilevel"/>
    <w:tmpl w:val="0BD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10"/>
  </w:num>
  <w:num w:numId="2" w16cid:durableId="565650672">
    <w:abstractNumId w:val="15"/>
  </w:num>
  <w:num w:numId="3" w16cid:durableId="801190530">
    <w:abstractNumId w:val="0"/>
  </w:num>
  <w:num w:numId="4" w16cid:durableId="1829634239">
    <w:abstractNumId w:val="9"/>
  </w:num>
  <w:num w:numId="5" w16cid:durableId="1845582307">
    <w:abstractNumId w:val="9"/>
  </w:num>
  <w:num w:numId="6" w16cid:durableId="1374963189">
    <w:abstractNumId w:val="2"/>
  </w:num>
  <w:num w:numId="7" w16cid:durableId="155271628">
    <w:abstractNumId w:val="23"/>
  </w:num>
  <w:num w:numId="8" w16cid:durableId="2024503368">
    <w:abstractNumId w:val="19"/>
  </w:num>
  <w:num w:numId="9" w16cid:durableId="12464536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20"/>
  </w:num>
  <w:num w:numId="11" w16cid:durableId="638730544">
    <w:abstractNumId w:val="1"/>
  </w:num>
  <w:num w:numId="12" w16cid:durableId="356734279">
    <w:abstractNumId w:val="16"/>
  </w:num>
  <w:num w:numId="13" w16cid:durableId="2043557017">
    <w:abstractNumId w:val="18"/>
  </w:num>
  <w:num w:numId="14" w16cid:durableId="295333758">
    <w:abstractNumId w:val="7"/>
  </w:num>
  <w:num w:numId="15" w16cid:durableId="616719424">
    <w:abstractNumId w:val="14"/>
  </w:num>
  <w:num w:numId="16" w16cid:durableId="241066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8"/>
  </w:num>
  <w:num w:numId="18" w16cid:durableId="486094577">
    <w:abstractNumId w:val="13"/>
  </w:num>
  <w:num w:numId="19" w16cid:durableId="1664890171">
    <w:abstractNumId w:val="22"/>
  </w:num>
  <w:num w:numId="20" w16cid:durableId="1583181938">
    <w:abstractNumId w:val="6"/>
  </w:num>
  <w:num w:numId="21" w16cid:durableId="2118988448">
    <w:abstractNumId w:val="3"/>
  </w:num>
  <w:num w:numId="22" w16cid:durableId="1041589351">
    <w:abstractNumId w:val="11"/>
  </w:num>
  <w:num w:numId="23" w16cid:durableId="693462269">
    <w:abstractNumId w:val="4"/>
  </w:num>
  <w:num w:numId="24" w16cid:durableId="219295130">
    <w:abstractNumId w:val="5"/>
  </w:num>
  <w:num w:numId="25" w16cid:durableId="1997120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154C"/>
    <w:rsid w:val="00025972"/>
    <w:rsid w:val="0004765C"/>
    <w:rsid w:val="00050181"/>
    <w:rsid w:val="00055E35"/>
    <w:rsid w:val="000617AF"/>
    <w:rsid w:val="0006493D"/>
    <w:rsid w:val="00073689"/>
    <w:rsid w:val="00076762"/>
    <w:rsid w:val="0008339D"/>
    <w:rsid w:val="00084AA4"/>
    <w:rsid w:val="00092BE5"/>
    <w:rsid w:val="000C2ECA"/>
    <w:rsid w:val="000C435B"/>
    <w:rsid w:val="000C4B43"/>
    <w:rsid w:val="000C7454"/>
    <w:rsid w:val="000C7EBF"/>
    <w:rsid w:val="000D60F4"/>
    <w:rsid w:val="000E5694"/>
    <w:rsid w:val="000E7802"/>
    <w:rsid w:val="000F039C"/>
    <w:rsid w:val="000F4D84"/>
    <w:rsid w:val="000F6DC2"/>
    <w:rsid w:val="00106DE7"/>
    <w:rsid w:val="00107FA3"/>
    <w:rsid w:val="00121A1E"/>
    <w:rsid w:val="00125068"/>
    <w:rsid w:val="00133E41"/>
    <w:rsid w:val="0013481D"/>
    <w:rsid w:val="0014147E"/>
    <w:rsid w:val="00143FBB"/>
    <w:rsid w:val="00152CE5"/>
    <w:rsid w:val="00162E41"/>
    <w:rsid w:val="0016361E"/>
    <w:rsid w:val="001774D0"/>
    <w:rsid w:val="00182A09"/>
    <w:rsid w:val="001A0E28"/>
    <w:rsid w:val="001A6E3E"/>
    <w:rsid w:val="001A7B8B"/>
    <w:rsid w:val="001B369B"/>
    <w:rsid w:val="001B6034"/>
    <w:rsid w:val="001B6FC8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242B3"/>
    <w:rsid w:val="00243C1C"/>
    <w:rsid w:val="00270449"/>
    <w:rsid w:val="00271383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375B"/>
    <w:rsid w:val="002C48AD"/>
    <w:rsid w:val="002C7C8F"/>
    <w:rsid w:val="002D00C4"/>
    <w:rsid w:val="002D1AB8"/>
    <w:rsid w:val="002E3002"/>
    <w:rsid w:val="003011CA"/>
    <w:rsid w:val="00302742"/>
    <w:rsid w:val="003060A9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C7358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70D2"/>
    <w:rsid w:val="004837A2"/>
    <w:rsid w:val="0049234E"/>
    <w:rsid w:val="00493956"/>
    <w:rsid w:val="004961E8"/>
    <w:rsid w:val="00497BE7"/>
    <w:rsid w:val="004A0F84"/>
    <w:rsid w:val="004A2BD5"/>
    <w:rsid w:val="004A53A2"/>
    <w:rsid w:val="004B0610"/>
    <w:rsid w:val="004B27C7"/>
    <w:rsid w:val="004B2C0D"/>
    <w:rsid w:val="004C065E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4B12"/>
    <w:rsid w:val="00537795"/>
    <w:rsid w:val="005554DA"/>
    <w:rsid w:val="0055612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87816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8C0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9CF"/>
    <w:rsid w:val="00753BC8"/>
    <w:rsid w:val="0077481B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0E4B"/>
    <w:rsid w:val="007F423A"/>
    <w:rsid w:val="007F487D"/>
    <w:rsid w:val="007F7F13"/>
    <w:rsid w:val="008142C8"/>
    <w:rsid w:val="00815787"/>
    <w:rsid w:val="00815EE1"/>
    <w:rsid w:val="00816744"/>
    <w:rsid w:val="00826C17"/>
    <w:rsid w:val="0083574A"/>
    <w:rsid w:val="00836273"/>
    <w:rsid w:val="008362B2"/>
    <w:rsid w:val="00840CBC"/>
    <w:rsid w:val="00851A53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0386"/>
    <w:rsid w:val="0090278F"/>
    <w:rsid w:val="00902F4B"/>
    <w:rsid w:val="00905666"/>
    <w:rsid w:val="0090600D"/>
    <w:rsid w:val="00907333"/>
    <w:rsid w:val="00922762"/>
    <w:rsid w:val="00932EC0"/>
    <w:rsid w:val="00934DB8"/>
    <w:rsid w:val="00937B74"/>
    <w:rsid w:val="00937FF3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C15E8"/>
    <w:rsid w:val="00AC1EAF"/>
    <w:rsid w:val="00AD1DEB"/>
    <w:rsid w:val="00AD2358"/>
    <w:rsid w:val="00AD510D"/>
    <w:rsid w:val="00AD5B78"/>
    <w:rsid w:val="00AE0A4C"/>
    <w:rsid w:val="00AE529F"/>
    <w:rsid w:val="00AF7436"/>
    <w:rsid w:val="00B01B0E"/>
    <w:rsid w:val="00B03466"/>
    <w:rsid w:val="00B04E69"/>
    <w:rsid w:val="00B116F5"/>
    <w:rsid w:val="00B20C0F"/>
    <w:rsid w:val="00B26A0E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675A"/>
    <w:rsid w:val="00BA7E85"/>
    <w:rsid w:val="00BB3566"/>
    <w:rsid w:val="00BC0160"/>
    <w:rsid w:val="00BC1EA7"/>
    <w:rsid w:val="00BC6FE5"/>
    <w:rsid w:val="00BD2AE0"/>
    <w:rsid w:val="00BD7CE8"/>
    <w:rsid w:val="00BE1084"/>
    <w:rsid w:val="00BE5B50"/>
    <w:rsid w:val="00C10407"/>
    <w:rsid w:val="00C154A6"/>
    <w:rsid w:val="00C2698C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5388"/>
    <w:rsid w:val="00C875B3"/>
    <w:rsid w:val="00C90D22"/>
    <w:rsid w:val="00C93B74"/>
    <w:rsid w:val="00C9519D"/>
    <w:rsid w:val="00C96DD0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0A"/>
    <w:rsid w:val="00D17716"/>
    <w:rsid w:val="00D263B3"/>
    <w:rsid w:val="00D34E84"/>
    <w:rsid w:val="00D41ABA"/>
    <w:rsid w:val="00D434C7"/>
    <w:rsid w:val="00D436FF"/>
    <w:rsid w:val="00D50D8B"/>
    <w:rsid w:val="00D76188"/>
    <w:rsid w:val="00D8514E"/>
    <w:rsid w:val="00D85589"/>
    <w:rsid w:val="00DA4CEA"/>
    <w:rsid w:val="00DA67C5"/>
    <w:rsid w:val="00DB0081"/>
    <w:rsid w:val="00DB6DB0"/>
    <w:rsid w:val="00DC12DE"/>
    <w:rsid w:val="00DC2C1C"/>
    <w:rsid w:val="00DC38BC"/>
    <w:rsid w:val="00DC4F13"/>
    <w:rsid w:val="00DC5CB3"/>
    <w:rsid w:val="00DE105D"/>
    <w:rsid w:val="00DE3034"/>
    <w:rsid w:val="00DF2829"/>
    <w:rsid w:val="00DF673F"/>
    <w:rsid w:val="00DF7B36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1D0F"/>
    <w:rsid w:val="00E924A1"/>
    <w:rsid w:val="00EB5576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E4DEF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72123-CA07-410F-B43F-934F868AE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mailto:freedomofinformation@tfw.wales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19</cp:revision>
  <cp:lastPrinted>2022-05-23T09:39:00Z</cp:lastPrinted>
  <dcterms:created xsi:type="dcterms:W3CDTF">2022-09-29T10:44:00Z</dcterms:created>
  <dcterms:modified xsi:type="dcterms:W3CDTF">2023-09-22T08:48:00Z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