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EAF53CC" w14:textId="77777777" w:rsidR="00D03966" w:rsidRDefault="00D03966"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53FC3CA4" w:rsidR="0029704C" w:rsidRPr="00DF2829" w:rsidRDefault="0029704C" w:rsidP="0029704C">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Dyddiad cyhoeddi:</w:t>
      </w:r>
      <w:r>
        <w:rPr>
          <w:rStyle w:val="normaltextrun"/>
          <w:rFonts w:ascii="Calibri" w:hAnsi="Calibri"/>
          <w:sz w:val="22"/>
        </w:rPr>
        <w:t xml:space="preserve"> 05 Mai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1847ADDC" w14:textId="0D7DCDB9" w:rsidR="0029704C" w:rsidRPr="00DF2829" w:rsidRDefault="00D96EBD"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 xml:space="preserve">Mae’r cais am wybodaeth yn eich llythyr at Brif Weithredwr </w:t>
      </w:r>
      <w:proofErr w:type="spellStart"/>
      <w:r>
        <w:rPr>
          <w:rStyle w:val="normaltextrun"/>
          <w:rFonts w:ascii="Calibri" w:hAnsi="Calibri"/>
          <w:sz w:val="22"/>
        </w:rPr>
        <w:t>TrC</w:t>
      </w:r>
      <w:proofErr w:type="spellEnd"/>
      <w:r>
        <w:rPr>
          <w:rStyle w:val="normaltextrun"/>
          <w:rFonts w:ascii="Calibri" w:hAnsi="Calibri"/>
          <w:sz w:val="22"/>
        </w:rPr>
        <w:t>, James Price, wedi cael sylw o dan Ddeddf Rhyddid Gwybodaeth (2000). Mae eich cais wedi cael ei ystyried yn unol â gofynion y Ddeddf a’n Polisi Rheoli Data a Gwybodaeth.</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53DAE346" w14:textId="4C38BAFB" w:rsidR="0029704C" w:rsidRPr="00DF2829" w:rsidRDefault="00AD561E" w:rsidP="00AD561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color w:val="FF0000"/>
          <w:sz w:val="28"/>
        </w:rPr>
        <w:t>Atebion i’ch Cwestiynau</w:t>
      </w:r>
    </w:p>
    <w:p w14:paraId="688E6EDB" w14:textId="3087AA86" w:rsidR="00A8347B" w:rsidRDefault="00A8347B" w:rsidP="00962DA6">
      <w:pPr>
        <w:spacing w:after="0"/>
      </w:pPr>
    </w:p>
    <w:p w14:paraId="7494F567" w14:textId="79BDD2EA" w:rsidR="00AD561E" w:rsidRPr="00AD561E" w:rsidRDefault="00AD561E" w:rsidP="00E42758">
      <w:pPr>
        <w:pStyle w:val="Default"/>
        <w:rPr>
          <w:rFonts w:ascii="Calibri" w:hAnsi="Calibri" w:cs="Calibri"/>
          <w:b/>
          <w:bCs/>
          <w:sz w:val="22"/>
          <w:szCs w:val="22"/>
        </w:rPr>
      </w:pPr>
      <w:r>
        <w:rPr>
          <w:rFonts w:ascii="Calibri" w:hAnsi="Calibri"/>
          <w:b/>
          <w:sz w:val="22"/>
        </w:rPr>
        <w:t>Cwestiwn 1</w:t>
      </w:r>
    </w:p>
    <w:p w14:paraId="3085B538" w14:textId="09F7701E" w:rsidR="00E42758" w:rsidRPr="007A4405" w:rsidRDefault="00D96EBD" w:rsidP="007A4405">
      <w:pPr>
        <w:pStyle w:val="Default"/>
        <w:jc w:val="both"/>
        <w:rPr>
          <w:rFonts w:ascii="Calibri" w:hAnsi="Calibri" w:cs="Calibri"/>
          <w:i/>
          <w:iCs/>
          <w:sz w:val="22"/>
          <w:szCs w:val="22"/>
        </w:rPr>
      </w:pPr>
      <w:r>
        <w:rPr>
          <w:rFonts w:ascii="Calibri" w:hAnsi="Calibri"/>
          <w:i/>
          <w:sz w:val="22"/>
        </w:rPr>
        <w:t xml:space="preserve">“Efallai eich bod yn cofio i mi ysgrifennu atoch i ddechrau ar 1 Hydref 2021 gyda nifer o bryderon ynghylch canslo gwasanaethau trên ar ddydd Sul a’r cyswllt â chontractau staff. Ymatebodd Ceri Taylor, Rheolwr Materion Cyhoeddus Trafnidiaeth Cymru, drwy e-bost ar 24 Mawrth 2022 ac rwy’n ddiolchgar am hynny. Mae nifer o gwestiynau’n deillio o’r ymateb hwnnw, a byddwn yn ddiolchgar o gael rhagor o wybodaeth amdanynt. </w:t>
      </w:r>
    </w:p>
    <w:p w14:paraId="1485EDCD" w14:textId="77777777" w:rsidR="00E42758" w:rsidRPr="007A4405" w:rsidRDefault="00E42758" w:rsidP="007A4405">
      <w:pPr>
        <w:pStyle w:val="Default"/>
        <w:jc w:val="both"/>
        <w:rPr>
          <w:rFonts w:ascii="Calibri" w:hAnsi="Calibri" w:cs="Calibri"/>
          <w:i/>
          <w:iCs/>
          <w:sz w:val="22"/>
          <w:szCs w:val="22"/>
        </w:rPr>
      </w:pPr>
    </w:p>
    <w:p w14:paraId="71009DBF" w14:textId="40BE786A" w:rsidR="00E42758" w:rsidRPr="007A4405" w:rsidRDefault="00E42758" w:rsidP="007A4405">
      <w:pPr>
        <w:pStyle w:val="Default"/>
        <w:jc w:val="both"/>
        <w:rPr>
          <w:rFonts w:ascii="Calibri" w:hAnsi="Calibri" w:cs="Calibri"/>
          <w:i/>
          <w:iCs/>
          <w:sz w:val="22"/>
          <w:szCs w:val="22"/>
        </w:rPr>
      </w:pPr>
      <w:r>
        <w:rPr>
          <w:rFonts w:ascii="Calibri" w:hAnsi="Calibri"/>
          <w:i/>
          <w:sz w:val="22"/>
        </w:rPr>
        <w:t xml:space="preserve">Yn gyntaf, braf oedd nodi eich bod yn ceisio cynnwys dydd Sul fel rhan o’r wythnos waith dan gontract, a byddwn yn falch o ddeall faint o gynnydd yr ydych wedi’i wneud yn hynny o beth, a phryd y byddech yn gobeithio gweld contractau diwygiedig yn eu lle.” </w:t>
      </w:r>
    </w:p>
    <w:p w14:paraId="3FB0A525" w14:textId="77777777" w:rsidR="00E42758" w:rsidRDefault="00E42758" w:rsidP="00E42758">
      <w:pPr>
        <w:pStyle w:val="Default"/>
        <w:rPr>
          <w:rFonts w:ascii="Calibri" w:hAnsi="Calibri" w:cs="Calibri"/>
          <w:sz w:val="22"/>
          <w:szCs w:val="22"/>
        </w:rPr>
      </w:pPr>
    </w:p>
    <w:p w14:paraId="0046775D" w14:textId="23C20162" w:rsidR="007A4405" w:rsidRPr="007A4405" w:rsidRDefault="007A4405" w:rsidP="00E42758">
      <w:pPr>
        <w:pStyle w:val="Default"/>
        <w:rPr>
          <w:rFonts w:ascii="Calibri" w:hAnsi="Calibri" w:cs="Calibri"/>
          <w:b/>
          <w:bCs/>
          <w:sz w:val="22"/>
          <w:szCs w:val="22"/>
        </w:rPr>
      </w:pPr>
      <w:r>
        <w:rPr>
          <w:rFonts w:ascii="Calibri" w:hAnsi="Calibri"/>
          <w:b/>
          <w:sz w:val="22"/>
        </w:rPr>
        <w:t>Ateb</w:t>
      </w:r>
    </w:p>
    <w:p w14:paraId="326BE4F7" w14:textId="491F8F89" w:rsidR="007A4405" w:rsidRPr="00A827E3" w:rsidRDefault="00F00B98" w:rsidP="009F5338">
      <w:pPr>
        <w:pStyle w:val="Default"/>
        <w:jc w:val="both"/>
        <w:rPr>
          <w:rFonts w:ascii="Calibri" w:hAnsi="Calibri"/>
          <w:sz w:val="22"/>
        </w:rPr>
      </w:pPr>
      <w:r>
        <w:rPr>
          <w:rFonts w:ascii="Calibri" w:hAnsi="Calibri"/>
          <w:sz w:val="22"/>
        </w:rPr>
        <w:t xml:space="preserve">Mae trafodaethau’n cael eu cynnal rhwng rheolwyr Rheilffyrdd </w:t>
      </w:r>
      <w:proofErr w:type="spellStart"/>
      <w:r>
        <w:rPr>
          <w:rFonts w:ascii="Calibri" w:hAnsi="Calibri"/>
          <w:sz w:val="22"/>
        </w:rPr>
        <w:t>TrC</w:t>
      </w:r>
      <w:proofErr w:type="spellEnd"/>
      <w:r>
        <w:rPr>
          <w:rFonts w:ascii="Calibri" w:hAnsi="Calibri"/>
          <w:sz w:val="22"/>
        </w:rPr>
        <w:t>, cyngor cwmni’r gyrwyr a threfnydd amser llawn ASLEF, i ddatblygu pecyn cyflogaeth wedi’i ailstrwythuro ar gyfer gyrwyr trenau. Mae cynnwys y negodi hwn, wrth gwrs, yn gyfrinachol am y tro, ond bydd yr ailstrwythuro’n ceisio mynd i’r afael â nifer o eitemau sy’n ymwneud â chydbwysedd cyflog a chynhyrchiant; mae’r ffordd yr ymdrinnir â dydd Sul yn un o’r eitemau hynny. Mae nifer o gwmnïau trên wedi symud dydd Sul i fod yn rhan o’r wythnos waith arferol (mae dydd Sul wedyn yn cael ei drin fel dydd Mercher o ran amserlennu). </w:t>
      </w:r>
      <w:r w:rsidRPr="00A827E3">
        <w:rPr>
          <w:rFonts w:ascii="Calibri" w:hAnsi="Calibri"/>
          <w:sz w:val="22"/>
        </w:rPr>
        <w:t xml:space="preserve">Mae nifer fawr o gwmnïau trên, gan gynnwys Rheilffyrdd </w:t>
      </w:r>
      <w:proofErr w:type="spellStart"/>
      <w:r w:rsidRPr="00A827E3">
        <w:rPr>
          <w:rFonts w:ascii="Calibri" w:hAnsi="Calibri"/>
          <w:sz w:val="22"/>
        </w:rPr>
        <w:t>TrC</w:t>
      </w:r>
      <w:proofErr w:type="spellEnd"/>
      <w:r w:rsidRPr="00A827E3">
        <w:rPr>
          <w:rFonts w:ascii="Calibri" w:hAnsi="Calibri"/>
          <w:sz w:val="22"/>
        </w:rPr>
        <w:t xml:space="preserve"> am y tro, yn dal i ystyried gwasanaethau dydd Sul y tu allan i’r wythnos waith arferol.</w:t>
      </w:r>
    </w:p>
    <w:p w14:paraId="3B7CF235" w14:textId="77777777" w:rsidR="007A4405" w:rsidRDefault="007A4405" w:rsidP="00E42758">
      <w:pPr>
        <w:pStyle w:val="Default"/>
        <w:rPr>
          <w:rFonts w:ascii="Calibri" w:hAnsi="Calibri" w:cs="Calibri"/>
          <w:sz w:val="22"/>
          <w:szCs w:val="22"/>
        </w:rPr>
      </w:pPr>
    </w:p>
    <w:p w14:paraId="09CC7D39" w14:textId="77777777" w:rsidR="009F5338" w:rsidRDefault="009F5338" w:rsidP="00E42758">
      <w:pPr>
        <w:pStyle w:val="Default"/>
        <w:rPr>
          <w:rFonts w:ascii="Calibri" w:hAnsi="Calibri" w:cs="Calibri"/>
          <w:b/>
          <w:bCs/>
          <w:sz w:val="22"/>
          <w:szCs w:val="22"/>
        </w:rPr>
      </w:pPr>
    </w:p>
    <w:p w14:paraId="52021A44" w14:textId="77777777" w:rsidR="00D03966" w:rsidRDefault="00D03966" w:rsidP="00E42758">
      <w:pPr>
        <w:pStyle w:val="Default"/>
        <w:rPr>
          <w:rFonts w:ascii="Calibri" w:hAnsi="Calibri" w:cs="Calibri"/>
          <w:b/>
          <w:bCs/>
          <w:sz w:val="22"/>
          <w:szCs w:val="22"/>
        </w:rPr>
      </w:pPr>
    </w:p>
    <w:p w14:paraId="05C9D655" w14:textId="4E4D629A" w:rsidR="007A4405" w:rsidRPr="009F5338" w:rsidRDefault="009F5338" w:rsidP="00E42758">
      <w:pPr>
        <w:pStyle w:val="Default"/>
        <w:rPr>
          <w:rFonts w:ascii="Calibri" w:hAnsi="Calibri" w:cs="Calibri"/>
          <w:b/>
          <w:bCs/>
          <w:sz w:val="22"/>
          <w:szCs w:val="22"/>
        </w:rPr>
      </w:pPr>
      <w:r>
        <w:rPr>
          <w:rFonts w:ascii="Calibri" w:hAnsi="Calibri"/>
          <w:b/>
          <w:sz w:val="22"/>
        </w:rPr>
        <w:t>Cwestiwn 2</w:t>
      </w:r>
    </w:p>
    <w:p w14:paraId="76BC408C" w14:textId="1CC5AA9A" w:rsidR="00E42758" w:rsidRPr="009F5338" w:rsidRDefault="009F5338" w:rsidP="00E42758">
      <w:pPr>
        <w:pStyle w:val="Default"/>
        <w:rPr>
          <w:rFonts w:ascii="Calibri" w:hAnsi="Calibri" w:cs="Calibri"/>
          <w:i/>
          <w:iCs/>
          <w:sz w:val="22"/>
          <w:szCs w:val="22"/>
        </w:rPr>
      </w:pPr>
      <w:r>
        <w:rPr>
          <w:rFonts w:ascii="Calibri" w:hAnsi="Calibri"/>
          <w:i/>
          <w:sz w:val="22"/>
        </w:rPr>
        <w:t>“Byddwn hefyd yn ddiolchgar am eglurder o ran faint o yrwyr ar ddydd Sul sy’n gorfod gweithio mewn blwyddyn fel rhan o’r contract presennol ar hyn o bryd.”</w:t>
      </w:r>
      <w:r>
        <w:rPr>
          <w:rFonts w:ascii="Calibri" w:hAnsi="Calibri"/>
          <w:b/>
          <w:i/>
          <w:sz w:val="22"/>
        </w:rPr>
        <w:t xml:space="preserve"> </w:t>
      </w:r>
    </w:p>
    <w:p w14:paraId="2F053F55" w14:textId="77777777" w:rsidR="00E42758" w:rsidRDefault="00E42758" w:rsidP="00E42758">
      <w:pPr>
        <w:pStyle w:val="Default"/>
        <w:rPr>
          <w:rFonts w:ascii="Calibri" w:hAnsi="Calibri" w:cs="Calibri"/>
          <w:sz w:val="22"/>
          <w:szCs w:val="22"/>
        </w:rPr>
      </w:pPr>
    </w:p>
    <w:p w14:paraId="24B0AB02" w14:textId="5BA9B14B" w:rsidR="009F5338" w:rsidRDefault="009F5338" w:rsidP="00E42758">
      <w:pPr>
        <w:pStyle w:val="Default"/>
        <w:rPr>
          <w:rFonts w:ascii="Calibri" w:hAnsi="Calibri" w:cs="Calibri"/>
          <w:b/>
          <w:bCs/>
          <w:sz w:val="22"/>
          <w:szCs w:val="22"/>
        </w:rPr>
      </w:pPr>
      <w:r>
        <w:rPr>
          <w:rFonts w:ascii="Calibri" w:hAnsi="Calibri"/>
          <w:b/>
          <w:sz w:val="22"/>
        </w:rPr>
        <w:t>Ateb</w:t>
      </w:r>
    </w:p>
    <w:p w14:paraId="58EF05F3" w14:textId="54D7FC82" w:rsidR="009F5338" w:rsidRPr="005255F6" w:rsidRDefault="005255F6" w:rsidP="00B35F48">
      <w:pPr>
        <w:pStyle w:val="Default"/>
        <w:jc w:val="both"/>
        <w:rPr>
          <w:rFonts w:asciiTheme="minorHAnsi" w:hAnsiTheme="minorHAnsi" w:cstheme="minorHAnsi"/>
          <w:b/>
          <w:bCs/>
          <w:sz w:val="22"/>
          <w:szCs w:val="22"/>
        </w:rPr>
      </w:pPr>
      <w:r>
        <w:rPr>
          <w:rFonts w:asciiTheme="minorHAnsi" w:hAnsiTheme="minorHAnsi"/>
          <w:sz w:val="22"/>
        </w:rPr>
        <w:t xml:space="preserve">Nid yw’r cytundebau gyrwyr a etifeddwyd gan Rheilffyrdd </w:t>
      </w:r>
      <w:proofErr w:type="spellStart"/>
      <w:r>
        <w:rPr>
          <w:rFonts w:asciiTheme="minorHAnsi" w:hAnsiTheme="minorHAnsi"/>
          <w:sz w:val="22"/>
        </w:rPr>
        <w:t>TrC</w:t>
      </w:r>
      <w:proofErr w:type="spellEnd"/>
      <w:r>
        <w:rPr>
          <w:rFonts w:asciiTheme="minorHAnsi" w:hAnsiTheme="minorHAnsi"/>
          <w:sz w:val="22"/>
        </w:rPr>
        <w:t xml:space="preserve"> gan y gweithredwyr blaenorol yn y sector preifat yn capio ar sawl dydd Sul y mae gyrrwr unigol yn eu gweithio. Yn hytrach, mae cyfanswm pob dydd Sul y gellir eu trefnu ar gyfer gyrwyr trenau ar draws y cwmni wedi’i gapio ar 168.  Mae gan yrwyr sydd ar y rhestr i weithio ar ddydd Sul fel rhan o’r 168 hwnnw ddyletswydd gytundebol i weithio. Fodd bynnag, unwaith y bydd gwyliau, salwch a rhesymau eraill dros absenoldeb yn cael eu hystyried, mae llai na 168 o yrwyr ar gael mewn gwirionedd. Mae hyn yn arwain at ddibynnu ar yrwyr sy’n gwirfoddoli i weithio “dydd Sul ychwanegol” y telir amdanynt ar gyfradd uwch. Gan fod nifer y milltiroedd ar y Sul wedi cynyddu yn yr amserlen, mae’r cap 168 wedi troi’r fantol ymhellach tuag at ddibynnu ar oramser. Hyd yn oed wrth i’r boblogaeth gyffredinol o yrwyr gynyddu yn barod ar gyfer gwelliannau i amserlenni yn y dyfodol, o dan y cytundebau presennol, mae’r cap 168 yn dal yn absoliwt. Cafwyd nifer o ymdrechion i gynyddu’r cap, ond nid oes dim wedi’i gytuno hyd yma gyda </w:t>
      </w:r>
      <w:r>
        <w:rPr>
          <w:rFonts w:asciiTheme="minorHAnsi" w:hAnsiTheme="minorHAnsi"/>
          <w:sz w:val="22"/>
        </w:rPr>
        <w:lastRenderedPageBreak/>
        <w:t>chynrychiolwyr cyngor y cwmni.  Dyna pam mae ystyried “Dydd Sul yn rhan o'r wythnos waith” yn rhoi ateb mwy hirdymor i ddiogelwch darpariaeth ar y Sul.</w:t>
      </w:r>
    </w:p>
    <w:p w14:paraId="55534490" w14:textId="77777777" w:rsidR="009F5338" w:rsidRDefault="009F5338" w:rsidP="00E42758">
      <w:pPr>
        <w:pStyle w:val="Default"/>
        <w:rPr>
          <w:rFonts w:ascii="Calibri" w:hAnsi="Calibri" w:cs="Calibri"/>
          <w:b/>
          <w:bCs/>
          <w:sz w:val="22"/>
          <w:szCs w:val="22"/>
        </w:rPr>
      </w:pPr>
    </w:p>
    <w:p w14:paraId="49F81BC0" w14:textId="77777777" w:rsidR="009F5338" w:rsidRPr="009F5338" w:rsidRDefault="009F5338" w:rsidP="00E42758">
      <w:pPr>
        <w:pStyle w:val="Default"/>
        <w:rPr>
          <w:rFonts w:ascii="Calibri" w:hAnsi="Calibri" w:cs="Calibri"/>
          <w:b/>
          <w:bCs/>
          <w:sz w:val="22"/>
          <w:szCs w:val="22"/>
        </w:rPr>
      </w:pPr>
    </w:p>
    <w:p w14:paraId="72D7A583" w14:textId="39DBECCE" w:rsidR="00D61E2B" w:rsidRPr="00D61E2B" w:rsidRDefault="00D61E2B" w:rsidP="00E42758">
      <w:pPr>
        <w:pStyle w:val="Default"/>
        <w:rPr>
          <w:rFonts w:ascii="Calibri" w:hAnsi="Calibri" w:cs="Calibri"/>
          <w:b/>
          <w:bCs/>
          <w:sz w:val="22"/>
          <w:szCs w:val="22"/>
        </w:rPr>
      </w:pPr>
      <w:r>
        <w:rPr>
          <w:rFonts w:ascii="Calibri" w:hAnsi="Calibri"/>
          <w:b/>
          <w:sz w:val="22"/>
        </w:rPr>
        <w:t>Cwestiwn 3</w:t>
      </w:r>
    </w:p>
    <w:p w14:paraId="4BE5BC16" w14:textId="77777777" w:rsidR="00D61E2B" w:rsidRPr="00D61E2B" w:rsidRDefault="00D61E2B" w:rsidP="00D61E2B">
      <w:pPr>
        <w:pStyle w:val="Default"/>
        <w:jc w:val="both"/>
        <w:rPr>
          <w:rFonts w:ascii="Calibri" w:hAnsi="Calibri" w:cs="Calibri"/>
          <w:i/>
          <w:iCs/>
          <w:sz w:val="22"/>
          <w:szCs w:val="22"/>
        </w:rPr>
      </w:pPr>
      <w:r>
        <w:rPr>
          <w:rFonts w:ascii="Calibri" w:hAnsi="Calibri"/>
          <w:i/>
          <w:sz w:val="22"/>
        </w:rPr>
        <w:t xml:space="preserve">“O ran gwasanaethau yn lle trenau, rwyf hefyd wedi cael gwybod bod gwasanaethau’n aml yn cael eu darparu gan gwmnïau bysiau nad ydynt yn dod o’r ardal leol. Er enghraifft, dywedwyd wrthyf fod gwasanaeth yn lle trenau a oedd yn ofynnol yng ngorsaf Glynebwy wedi’i ddarparu gan </w:t>
      </w:r>
      <w:proofErr w:type="spellStart"/>
      <w:r>
        <w:rPr>
          <w:rFonts w:ascii="Calibri" w:hAnsi="Calibri"/>
          <w:i/>
          <w:sz w:val="22"/>
        </w:rPr>
        <w:t>Lloyd’s</w:t>
      </w:r>
      <w:proofErr w:type="spellEnd"/>
      <w:r>
        <w:rPr>
          <w:rFonts w:ascii="Calibri" w:hAnsi="Calibri"/>
          <w:i/>
          <w:sz w:val="22"/>
        </w:rPr>
        <w:t xml:space="preserve"> o </w:t>
      </w:r>
      <w:proofErr w:type="spellStart"/>
      <w:r>
        <w:rPr>
          <w:rFonts w:ascii="Calibri" w:hAnsi="Calibri"/>
          <w:i/>
          <w:sz w:val="22"/>
        </w:rPr>
        <w:t>Fachynlleth</w:t>
      </w:r>
      <w:proofErr w:type="spellEnd"/>
      <w:r>
        <w:rPr>
          <w:rFonts w:ascii="Calibri" w:hAnsi="Calibri"/>
          <w:i/>
          <w:sz w:val="22"/>
        </w:rPr>
        <w:t>, sy’n codi cwestiynau o ran ôl troed carbon, a chefnogaeth i gwmnïau lleol. Byddai gen i ddiddordeb mewn deall sut mae’r gwasanaethau hynny’n cael eu comisiynu...’</w:t>
      </w:r>
    </w:p>
    <w:p w14:paraId="4F3B8CF4" w14:textId="77777777" w:rsidR="00D61E2B" w:rsidRDefault="00D61E2B" w:rsidP="00E42758">
      <w:pPr>
        <w:pStyle w:val="Default"/>
        <w:rPr>
          <w:rFonts w:ascii="Calibri" w:hAnsi="Calibri" w:cs="Calibri"/>
          <w:sz w:val="22"/>
          <w:szCs w:val="22"/>
        </w:rPr>
      </w:pPr>
    </w:p>
    <w:p w14:paraId="70E05A61" w14:textId="7D653916" w:rsidR="00D61E2B" w:rsidRPr="00C677D1" w:rsidRDefault="00C677D1" w:rsidP="00E42758">
      <w:pPr>
        <w:pStyle w:val="Default"/>
        <w:rPr>
          <w:rFonts w:ascii="Calibri" w:hAnsi="Calibri" w:cs="Calibri"/>
          <w:b/>
          <w:bCs/>
          <w:sz w:val="22"/>
          <w:szCs w:val="22"/>
        </w:rPr>
      </w:pPr>
      <w:r>
        <w:rPr>
          <w:rFonts w:ascii="Calibri" w:hAnsi="Calibri"/>
          <w:b/>
          <w:sz w:val="22"/>
        </w:rPr>
        <w:t>Ateb</w:t>
      </w:r>
    </w:p>
    <w:p w14:paraId="07A277BC" w14:textId="734BF116" w:rsidR="00C677D1" w:rsidRPr="00C677D1" w:rsidRDefault="00C677D1" w:rsidP="00F12E18">
      <w:pPr>
        <w:spacing w:after="0"/>
        <w:jc w:val="both"/>
        <w:rPr>
          <w:rFonts w:cstheme="minorHAnsi"/>
        </w:rPr>
      </w:pPr>
      <w:r>
        <w:t xml:space="preserve">Mae gwasanaethau yn lle trenau yn cael eu trefnu gan ein cyflenwr, </w:t>
      </w:r>
      <w:proofErr w:type="spellStart"/>
      <w:r>
        <w:t>Abellio</w:t>
      </w:r>
      <w:proofErr w:type="spellEnd"/>
      <w:r>
        <w:t xml:space="preserve"> </w:t>
      </w:r>
      <w:proofErr w:type="spellStart"/>
      <w:r>
        <w:t>Rail</w:t>
      </w:r>
      <w:proofErr w:type="spellEnd"/>
      <w:r>
        <w:t xml:space="preserve"> </w:t>
      </w:r>
      <w:proofErr w:type="spellStart"/>
      <w:r>
        <w:t>Replacement</w:t>
      </w:r>
      <w:proofErr w:type="spellEnd"/>
      <w:r>
        <w:t xml:space="preserve"> (ARR). Mae ARR yn cynllunio’r amserlenni ar gyfer bysiau yn lle trenau sydd wedi’u cynllunio, ac yn contractio cwmnïau bysiau a bysiau moethus i wneud y gwaith. Maent hefyd yn darparu gwasanaeth ymateb 24 awr i fysiau a bysiau moethus a allai fod yn ofynnol mewn argyfwng.  Mae’n anoddach darparu cludiant yn lle trenau mewn argyfwng, gan nad oes cyfle i’r rheolwyr hurio preifat mewn cwmnïau bysiau a bysiau moethus gynllunio ar gyfer y gofyniad, ac mae contractau ysgolion yn aml yn flaenoriaeth i weithredwyr llai. Mae’r prinder cynyddol o yrwyr bysiau a bysiau moethus yn ei gwneud hi’n anoddach darparu trenau yn lle trenau mewn argyfwng. Mae gan ARR hefyd gontractau gyda chwmnïau tacsis er mwyn gallu defnyddio tacsis fel dewis arall.</w:t>
      </w:r>
    </w:p>
    <w:p w14:paraId="7ED8148D" w14:textId="77777777" w:rsidR="00C677D1" w:rsidRDefault="00C677D1" w:rsidP="00F12E18">
      <w:pPr>
        <w:spacing w:after="0"/>
        <w:rPr>
          <w:rFonts w:cstheme="minorHAnsi"/>
        </w:rPr>
      </w:pPr>
    </w:p>
    <w:p w14:paraId="222BA8FC" w14:textId="77777777" w:rsidR="00F12E18" w:rsidRDefault="00F12E18" w:rsidP="00F12E18">
      <w:pPr>
        <w:spacing w:after="0"/>
        <w:rPr>
          <w:rFonts w:cstheme="minorHAnsi"/>
        </w:rPr>
      </w:pPr>
    </w:p>
    <w:p w14:paraId="25873DD0" w14:textId="77777777" w:rsidR="00D03966" w:rsidRDefault="00D03966" w:rsidP="00F12E18">
      <w:pPr>
        <w:spacing w:after="0"/>
        <w:rPr>
          <w:rFonts w:cstheme="minorHAnsi"/>
        </w:rPr>
      </w:pPr>
    </w:p>
    <w:p w14:paraId="61505B5E" w14:textId="79B1C325" w:rsidR="00F12E18" w:rsidRPr="000471EC" w:rsidRDefault="00F12E18" w:rsidP="000471EC">
      <w:pPr>
        <w:spacing w:after="0"/>
        <w:rPr>
          <w:rFonts w:cstheme="minorHAnsi"/>
          <w:b/>
          <w:bCs/>
        </w:rPr>
      </w:pPr>
      <w:r>
        <w:rPr>
          <w:b/>
        </w:rPr>
        <w:t>Cwestiwn 4</w:t>
      </w:r>
    </w:p>
    <w:p w14:paraId="775B7F1C" w14:textId="081B1032" w:rsidR="00E42758" w:rsidRPr="000471EC" w:rsidRDefault="00F12E18" w:rsidP="00D03966">
      <w:pPr>
        <w:pStyle w:val="Default"/>
        <w:jc w:val="both"/>
        <w:rPr>
          <w:rFonts w:ascii="Calibri" w:hAnsi="Calibri" w:cs="Calibri"/>
          <w:i/>
          <w:iCs/>
          <w:sz w:val="22"/>
          <w:szCs w:val="22"/>
        </w:rPr>
      </w:pPr>
      <w:r>
        <w:rPr>
          <w:rFonts w:ascii="Calibri" w:hAnsi="Calibri"/>
          <w:i/>
          <w:sz w:val="22"/>
        </w:rPr>
        <w:t xml:space="preserve">“...a beth yw cyfanswm lefel y gwariant blynyddol i Trafnidiaeth Cymru o ran darparu’r gwasanaethau hyn.” </w:t>
      </w:r>
    </w:p>
    <w:p w14:paraId="0C285035" w14:textId="77777777" w:rsidR="00E42758" w:rsidRDefault="00E42758" w:rsidP="000471EC">
      <w:pPr>
        <w:spacing w:after="0"/>
        <w:rPr>
          <w:rFonts w:ascii="Calibri" w:hAnsi="Calibri" w:cs="Calibri"/>
        </w:rPr>
      </w:pPr>
    </w:p>
    <w:p w14:paraId="4B1A6028" w14:textId="7C5FA960" w:rsidR="000471EC" w:rsidRPr="000471EC" w:rsidRDefault="000471EC" w:rsidP="000471EC">
      <w:pPr>
        <w:spacing w:after="0"/>
        <w:rPr>
          <w:rFonts w:ascii="Calibri" w:hAnsi="Calibri" w:cs="Calibri"/>
          <w:b/>
          <w:bCs/>
        </w:rPr>
      </w:pPr>
      <w:r>
        <w:rPr>
          <w:rFonts w:ascii="Calibri" w:hAnsi="Calibri"/>
          <w:b/>
        </w:rPr>
        <w:t>Ateb</w:t>
      </w:r>
    </w:p>
    <w:p w14:paraId="4D565C84" w14:textId="7F1850F4" w:rsidR="00F12E18" w:rsidRPr="00A827E3" w:rsidRDefault="00F12E18" w:rsidP="007B77FE">
      <w:pPr>
        <w:pStyle w:val="Default"/>
        <w:jc w:val="both"/>
        <w:rPr>
          <w:rFonts w:asciiTheme="minorHAnsi" w:hAnsiTheme="minorHAnsi"/>
          <w:sz w:val="22"/>
        </w:rPr>
      </w:pPr>
      <w:r>
        <w:rPr>
          <w:rFonts w:asciiTheme="minorHAnsi" w:hAnsiTheme="minorHAnsi"/>
          <w:sz w:val="22"/>
        </w:rPr>
        <w:t xml:space="preserve">Dewiswyd ARR fel darparwr bysiau, bysiau moethus a thacsis yn lle trenau Rheilffyrdd </w:t>
      </w:r>
      <w:proofErr w:type="spellStart"/>
      <w:r>
        <w:rPr>
          <w:rFonts w:asciiTheme="minorHAnsi" w:hAnsiTheme="minorHAnsi"/>
          <w:sz w:val="22"/>
        </w:rPr>
        <w:t>TrC</w:t>
      </w:r>
      <w:proofErr w:type="spellEnd"/>
      <w:r>
        <w:rPr>
          <w:rFonts w:asciiTheme="minorHAnsi" w:hAnsiTheme="minorHAnsi"/>
          <w:sz w:val="22"/>
        </w:rPr>
        <w:t xml:space="preserve"> yn dilyn ymarfer tendro cystadleuol. </w:t>
      </w:r>
      <w:r w:rsidRPr="00A827E3">
        <w:rPr>
          <w:rFonts w:asciiTheme="minorHAnsi" w:hAnsiTheme="minorHAnsi"/>
          <w:sz w:val="22"/>
        </w:rPr>
        <w:t>Mae gwybodaeth sydd wedi’i chynnwys yn y tendr buddugol gan ARR (gan gynnwys ei fethodoleg, Pwynt Gwerthu Unigryw a phwyntiau prisiau) wedi’i heithrio rhag cael ei datgelu o dan A43(2) (Niwed i Fuddiannau Masnachol) o’r Ddeddf Rhyddid Gwybodaeth, sy’n ymwneud â datgelu gwybodaeth a fyddai’n debygol o gael effaith niweidiol ar fantais gystadleuol cyflenwr.</w:t>
      </w:r>
    </w:p>
    <w:p w14:paraId="31B756AD" w14:textId="77777777" w:rsidR="007B77FE" w:rsidRDefault="007B77FE" w:rsidP="007B77FE">
      <w:pPr>
        <w:pStyle w:val="Default"/>
        <w:jc w:val="both"/>
        <w:rPr>
          <w:rFonts w:ascii="Calibri" w:hAnsi="Calibri" w:cs="Calibri"/>
          <w:sz w:val="22"/>
          <w:szCs w:val="22"/>
        </w:rPr>
      </w:pPr>
    </w:p>
    <w:p w14:paraId="5D304445" w14:textId="673D8C95" w:rsidR="007B77FE" w:rsidRPr="007B77FE" w:rsidRDefault="007B77FE" w:rsidP="007B77FE">
      <w:pPr>
        <w:autoSpaceDE w:val="0"/>
        <w:autoSpaceDN w:val="0"/>
        <w:adjustRightInd w:val="0"/>
        <w:spacing w:after="0" w:line="240" w:lineRule="auto"/>
        <w:jc w:val="both"/>
        <w:rPr>
          <w:rFonts w:ascii="Calibri" w:hAnsi="Calibri" w:cs="Calibri"/>
          <w:color w:val="000000"/>
        </w:rPr>
      </w:pPr>
      <w:r>
        <w:rPr>
          <w:rFonts w:ascii="Calibri" w:hAnsi="Calibri"/>
          <w:color w:val="000000"/>
        </w:rPr>
        <w:t xml:space="preserve">Mae defnyddio’r eithriad hwn yn amodol ar asesiad o fudd y cyhoedd. Yn yr achos hwn, mae ffactorau o blaid datgelu, fel budd cyffredinol y cyhoedd mewn tryloywder a bod yn agored, yn cael eu gorbwyso gan y niwed posibl i weithrediad effeithiol a theg ein proses ymgeisio; gan y gallai datgelu’r wybodaeth hon roi mantais annheg i gystadleuwyr y cyflenwr a benodir drwy ddylanwadu’n artiffisial ar y farchnad. Dylid nodi hefyd bod rhaid ystyried datgeliadau a wneir o dan y Ddeddf Rhyddid Gwybodaeth fel datgeliad i’r cyhoedd yn gyffredinol. </w:t>
      </w:r>
    </w:p>
    <w:p w14:paraId="7DA72552" w14:textId="77777777" w:rsidR="007B77FE" w:rsidRDefault="007B77FE" w:rsidP="007B77FE">
      <w:pPr>
        <w:autoSpaceDE w:val="0"/>
        <w:autoSpaceDN w:val="0"/>
        <w:adjustRightInd w:val="0"/>
        <w:spacing w:after="0" w:line="240" w:lineRule="auto"/>
        <w:jc w:val="both"/>
        <w:rPr>
          <w:rFonts w:ascii="Calibri" w:hAnsi="Calibri" w:cs="Calibri"/>
          <w:color w:val="212121"/>
        </w:rPr>
      </w:pPr>
    </w:p>
    <w:p w14:paraId="1FB7FFCF" w14:textId="4C5BED30" w:rsidR="007B77FE" w:rsidRPr="007B77FE" w:rsidRDefault="007B77FE" w:rsidP="007B77FE">
      <w:pPr>
        <w:autoSpaceDE w:val="0"/>
        <w:autoSpaceDN w:val="0"/>
        <w:adjustRightInd w:val="0"/>
        <w:spacing w:after="0" w:line="240" w:lineRule="auto"/>
        <w:jc w:val="both"/>
        <w:rPr>
          <w:rFonts w:ascii="Calibri" w:hAnsi="Calibri" w:cs="Calibri"/>
          <w:color w:val="000000"/>
        </w:rPr>
      </w:pPr>
      <w:r>
        <w:rPr>
          <w:rFonts w:ascii="Calibri" w:hAnsi="Calibri"/>
          <w:color w:val="212121"/>
        </w:rPr>
        <w:t xml:space="preserve">Mae’n hanfodol bod </w:t>
      </w:r>
      <w:proofErr w:type="spellStart"/>
      <w:r>
        <w:rPr>
          <w:rFonts w:ascii="Calibri" w:hAnsi="Calibri"/>
          <w:color w:val="212121"/>
        </w:rPr>
        <w:t>TrC</w:t>
      </w:r>
      <w:proofErr w:type="spellEnd"/>
      <w:r>
        <w:rPr>
          <w:rFonts w:ascii="Calibri" w:hAnsi="Calibri"/>
          <w:color w:val="212121"/>
        </w:rPr>
        <w:t xml:space="preserve"> yn cymryd gofal i gynnal uniondeb ei broses gaffael er mwyn sicrhau’r gwerth gorau am arian y trethdalwyr. Byddai datgelu’r wybodaeth hon yn cael effaith negyddol, ac arwyddocaol, ar y gonestrwydd hwnnw ac mae’n debygol y byddai’n arwain at ddrwgdybiaeth o’n sefydliad ac yn rhwystro cwmnïau rhag ymgysylltu â’n proses ymgeisio eto. </w:t>
      </w:r>
      <w:r>
        <w:rPr>
          <w:rFonts w:ascii="Calibri" w:hAnsi="Calibri"/>
          <w:color w:val="000000"/>
        </w:rPr>
        <w:t xml:space="preserve">O’r herwydd, byddai datgelu hefyd yn debygol o niweidio buddiannau masnachol </w:t>
      </w:r>
      <w:proofErr w:type="spellStart"/>
      <w:r>
        <w:rPr>
          <w:rFonts w:ascii="Calibri" w:hAnsi="Calibri"/>
          <w:color w:val="000000"/>
        </w:rPr>
        <w:t>TrC</w:t>
      </w:r>
      <w:proofErr w:type="spellEnd"/>
      <w:r>
        <w:rPr>
          <w:rFonts w:ascii="Calibri" w:hAnsi="Calibri"/>
          <w:color w:val="000000"/>
        </w:rPr>
        <w:t xml:space="preserve">, drwy niweidio ein gallu i gael y gwerth gorau o’n prosesau caffael. Yn y pen draw, byddai hyn yn arwain at gost uwch i’r cyhoedd. </w:t>
      </w:r>
    </w:p>
    <w:p w14:paraId="35E709A9" w14:textId="77777777" w:rsidR="00051E12" w:rsidRDefault="00051E12" w:rsidP="007B77FE">
      <w:pPr>
        <w:pStyle w:val="Default"/>
        <w:jc w:val="both"/>
        <w:rPr>
          <w:rFonts w:ascii="Calibri" w:hAnsi="Calibri" w:cs="Calibri"/>
          <w:sz w:val="22"/>
          <w:szCs w:val="22"/>
        </w:rPr>
      </w:pPr>
    </w:p>
    <w:p w14:paraId="4296B936" w14:textId="5FD7EA09" w:rsidR="007B77FE" w:rsidRPr="000A7F99" w:rsidRDefault="007B77FE" w:rsidP="007B77FE">
      <w:pPr>
        <w:pStyle w:val="Default"/>
        <w:jc w:val="both"/>
        <w:rPr>
          <w:rFonts w:ascii="Calibri" w:hAnsi="Calibri" w:cs="Calibri"/>
        </w:rPr>
      </w:pPr>
      <w:r>
        <w:rPr>
          <w:rFonts w:ascii="Calibri" w:hAnsi="Calibri"/>
          <w:sz w:val="22"/>
        </w:rPr>
        <w:lastRenderedPageBreak/>
        <w:t xml:space="preserve">Yn yr achos hwn, rydyn ni o’r farn mai’r budd i’r cyhoedd yw cael y gwerth gorau o’r farchnad, gan barchu’r ymrwymiadau ymhlyg a phenodol o ran cyfrinachedd sy’n cael eu creu drwy’r broses gaffael.  </w:t>
      </w:r>
    </w:p>
    <w:p w14:paraId="6E9F5FAF" w14:textId="77777777" w:rsidR="009414E0" w:rsidRDefault="009414E0" w:rsidP="000471EC">
      <w:pPr>
        <w:spacing w:after="0"/>
        <w:rPr>
          <w:rFonts w:ascii="Calibri" w:hAnsi="Calibri" w:cs="Calibri"/>
        </w:rPr>
      </w:pPr>
    </w:p>
    <w:p w14:paraId="2B6DA65C" w14:textId="77777777" w:rsidR="009414E0" w:rsidRDefault="009414E0" w:rsidP="000471EC">
      <w:pPr>
        <w:spacing w:after="0"/>
        <w:rPr>
          <w:rFonts w:ascii="Calibri" w:hAnsi="Calibri" w:cs="Calibri"/>
        </w:rPr>
      </w:pPr>
    </w:p>
    <w:p w14:paraId="1869670B" w14:textId="77777777" w:rsidR="009414E0" w:rsidRDefault="009414E0" w:rsidP="000471EC">
      <w:pPr>
        <w:spacing w:after="0"/>
        <w:rPr>
          <w:rFonts w:ascii="Calibri" w:hAnsi="Calibri" w:cs="Calibri"/>
        </w:rPr>
      </w:pPr>
    </w:p>
    <w:p w14:paraId="0344401B" w14:textId="5A8416BE" w:rsidR="009414E0" w:rsidRPr="009414E0" w:rsidRDefault="009414E0" w:rsidP="000471EC">
      <w:pPr>
        <w:spacing w:after="0"/>
        <w:rPr>
          <w:rFonts w:ascii="Calibri" w:hAnsi="Calibri" w:cs="Calibri"/>
          <w:b/>
          <w:bCs/>
        </w:rPr>
      </w:pPr>
      <w:r>
        <w:rPr>
          <w:rFonts w:ascii="Calibri" w:hAnsi="Calibri"/>
          <w:b/>
        </w:rPr>
        <w:t>Cwestiwn 5</w:t>
      </w:r>
    </w:p>
    <w:p w14:paraId="0199BEA0" w14:textId="00C3B377" w:rsidR="00E42758" w:rsidRPr="00906309" w:rsidRDefault="009414E0" w:rsidP="00906309">
      <w:pPr>
        <w:spacing w:after="0"/>
        <w:jc w:val="both"/>
        <w:rPr>
          <w:i/>
          <w:iCs/>
        </w:rPr>
      </w:pPr>
      <w:r>
        <w:rPr>
          <w:i/>
        </w:rPr>
        <w:t xml:space="preserve">“Yn olaf, mae etholwyr yn poeni, gyda thymor yr haf, y bydd nifer fawr o ganslo yn effeithio ar dwristiaid, a bod y diffyg rhybudd am ganslo yn broblem. Er enghraifft, dywedwyd wrthyf fod staff yn aml yn ymwybodol ar nos Iau bod gwasanaethau’n cael eu canslo ar y Sul canlynol, ond nad yw gwasanaethau sy’n cael eu canslo </w:t>
      </w:r>
      <w:proofErr w:type="spellStart"/>
      <w:r>
        <w:rPr>
          <w:i/>
        </w:rPr>
        <w:t>weithiau’n</w:t>
      </w:r>
      <w:proofErr w:type="spellEnd"/>
      <w:r>
        <w:rPr>
          <w:i/>
        </w:rPr>
        <w:t xml:space="preserve"> cael eu cyhoeddi ar-lein tan y bore Sul. Felly, bydd teithwyr yn prynu tocynnau ar y dydd Gwener a’r dydd Sadwrn, er bod Trafnidiaeth Cymru yn ymwybodol na fydd y gwasanaeth yn rhedeg.”</w:t>
      </w:r>
    </w:p>
    <w:p w14:paraId="5FA594A5" w14:textId="77777777" w:rsidR="00590396" w:rsidRPr="00DF2829" w:rsidRDefault="00590396" w:rsidP="00962DA6">
      <w:pPr>
        <w:spacing w:after="0"/>
      </w:pPr>
    </w:p>
    <w:p w14:paraId="0C982803" w14:textId="7714C1F7" w:rsidR="008142C8" w:rsidRPr="00730D02" w:rsidRDefault="00906309" w:rsidP="00962DA6">
      <w:pPr>
        <w:spacing w:after="0"/>
        <w:rPr>
          <w:b/>
          <w:bCs/>
        </w:rPr>
      </w:pPr>
      <w:r>
        <w:rPr>
          <w:b/>
        </w:rPr>
        <w:t>Ateb</w:t>
      </w:r>
    </w:p>
    <w:p w14:paraId="2C2B1A2E" w14:textId="757D3EBA" w:rsidR="008142C8" w:rsidRPr="00730D02" w:rsidRDefault="00652675" w:rsidP="00652675">
      <w:pPr>
        <w:spacing w:after="0"/>
        <w:jc w:val="both"/>
      </w:pPr>
      <w:r>
        <w:t xml:space="preserve">Nid yw canslo a achosir gan ddiffyg adnoddau criwiau trenau, gan gynnwys y problemau sy’n ymwneud â dyletswyddau gyrrwr trên ar ddydd Sul, yn hysbys yn bendant tan y diwrnod cynt. Y rheswm am hyn yw bod ein tîm adnoddau yn parhau i drin a thrafod adnoddau, ac yn gofyn i yrwyr weithio goramser hyd at y diwrnod cynt. Ar sawl achlysur yn ddiweddar, mae’r ddarpariaeth ar y Sul wedi edrych yn wael y dydd Iau blaenorol, ac yna mae’r tîm adnoddau’n llwyddo i greu mân wyrthiau a sicrhau bod bron popeth yn iawn ar y diwrnod. Ar adegau, mae’n iawn lleihau’r amserlen i gyd-fynd â’r adnoddau sydd ar gael. Cafodd hyn ei wneud pan effeithiodd ton </w:t>
      </w:r>
      <w:proofErr w:type="spellStart"/>
      <w:r>
        <w:t>Omicron</w:t>
      </w:r>
      <w:proofErr w:type="spellEnd"/>
      <w:r>
        <w:t xml:space="preserve"> COVID ar lefelau salwch ddiwedd mis Rhagfyr/dechrau mis Ionawr, a chafodd milltiroedd eu lleihau yn yr amserlen am nifer o wythnosau, a’u cyhoeddi ymlaen llaw, i gyfateb y cyflenwad â’r galw.</w:t>
      </w:r>
    </w:p>
    <w:p w14:paraId="64B9B87E" w14:textId="10D631FB" w:rsidR="0008339D" w:rsidRPr="00730D02" w:rsidRDefault="0008339D" w:rsidP="00962DA6">
      <w:pPr>
        <w:spacing w:after="0"/>
      </w:pP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t xml:space="preserve">Gobeithio y bydd yr wybodaeth hon yn ddefnyddiol i chi.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t xml:space="preserve">Yn gywir,  </w:t>
      </w:r>
    </w:p>
    <w:p w14:paraId="268B4940" w14:textId="16645FF7" w:rsidR="00F35E54" w:rsidRPr="002225B7" w:rsidRDefault="00F35E54" w:rsidP="00962DA6">
      <w:pPr>
        <w:spacing w:after="0"/>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rPr>
        <mc:AlternateContent>
          <mc:Choice Requires="wps">
            <w:drawing>
              <wp:anchor distT="45720" distB="45720" distL="114300" distR="114300" simplePos="0" relativeHeight="251659264" behindDoc="0" locked="0" layoutInCell="1" allowOverlap="1" wp14:anchorId="5AA82B04" wp14:editId="4C1ADA4F">
                <wp:simplePos x="0" y="0"/>
                <wp:positionH relativeFrom="margin">
                  <wp:posOffset>-91440</wp:posOffset>
                </wp:positionH>
                <wp:positionV relativeFrom="paragraph">
                  <wp:posOffset>239395</wp:posOffset>
                </wp:positionV>
                <wp:extent cx="5943600" cy="26682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827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85pt;width:468pt;height:21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3666" w14:textId="77777777" w:rsidR="000C08E2" w:rsidRDefault="000C08E2" w:rsidP="0029704C">
      <w:pPr>
        <w:spacing w:after="0" w:line="240" w:lineRule="auto"/>
      </w:pPr>
      <w:r>
        <w:separator/>
      </w:r>
    </w:p>
  </w:endnote>
  <w:endnote w:type="continuationSeparator" w:id="0">
    <w:p w14:paraId="7225FECB" w14:textId="77777777" w:rsidR="000C08E2" w:rsidRDefault="000C08E2" w:rsidP="0029704C">
      <w:pPr>
        <w:spacing w:after="0" w:line="240" w:lineRule="auto"/>
      </w:pPr>
      <w:r>
        <w:continuationSeparator/>
      </w:r>
    </w:p>
  </w:endnote>
  <w:endnote w:type="continuationNotice" w:id="1">
    <w:p w14:paraId="1B4D3C5A" w14:textId="77777777" w:rsidR="000C08E2" w:rsidRDefault="000C0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2A68" w14:textId="77777777" w:rsidR="000C08E2" w:rsidRDefault="000C08E2" w:rsidP="0029704C">
      <w:pPr>
        <w:spacing w:after="0" w:line="240" w:lineRule="auto"/>
      </w:pPr>
      <w:r>
        <w:separator/>
      </w:r>
    </w:p>
  </w:footnote>
  <w:footnote w:type="continuationSeparator" w:id="0">
    <w:p w14:paraId="2EEEC730" w14:textId="77777777" w:rsidR="000C08E2" w:rsidRDefault="000C08E2" w:rsidP="0029704C">
      <w:pPr>
        <w:spacing w:after="0" w:line="240" w:lineRule="auto"/>
      </w:pPr>
      <w:r>
        <w:continuationSeparator/>
      </w:r>
    </w:p>
  </w:footnote>
  <w:footnote w:type="continuationNotice" w:id="1">
    <w:p w14:paraId="04D165B4" w14:textId="77777777" w:rsidR="000C08E2" w:rsidRDefault="000C08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2448855">
    <w:abstractNumId w:val="1"/>
  </w:num>
  <w:num w:numId="2" w16cid:durableId="975721070">
    <w:abstractNumId w:val="2"/>
  </w:num>
  <w:num w:numId="3" w16cid:durableId="18667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3BE2"/>
    <w:rsid w:val="000061F5"/>
    <w:rsid w:val="00032DFF"/>
    <w:rsid w:val="000471EC"/>
    <w:rsid w:val="00050181"/>
    <w:rsid w:val="00051E12"/>
    <w:rsid w:val="00076762"/>
    <w:rsid w:val="0008339D"/>
    <w:rsid w:val="00084AA4"/>
    <w:rsid w:val="00092BE5"/>
    <w:rsid w:val="000A7F99"/>
    <w:rsid w:val="000C08E2"/>
    <w:rsid w:val="000C435B"/>
    <w:rsid w:val="000E7802"/>
    <w:rsid w:val="000F039C"/>
    <w:rsid w:val="00106DE7"/>
    <w:rsid w:val="00121A1E"/>
    <w:rsid w:val="0013481D"/>
    <w:rsid w:val="0016361E"/>
    <w:rsid w:val="00167CD6"/>
    <w:rsid w:val="001821CF"/>
    <w:rsid w:val="00187A71"/>
    <w:rsid w:val="001B369B"/>
    <w:rsid w:val="001B6034"/>
    <w:rsid w:val="001B6FC8"/>
    <w:rsid w:val="001E42C0"/>
    <w:rsid w:val="001F47D6"/>
    <w:rsid w:val="00217E85"/>
    <w:rsid w:val="00243C1C"/>
    <w:rsid w:val="00271383"/>
    <w:rsid w:val="0027240C"/>
    <w:rsid w:val="00293CEC"/>
    <w:rsid w:val="0029704C"/>
    <w:rsid w:val="002B38BF"/>
    <w:rsid w:val="002C48AD"/>
    <w:rsid w:val="002E3002"/>
    <w:rsid w:val="003052AF"/>
    <w:rsid w:val="0033704E"/>
    <w:rsid w:val="003A66BB"/>
    <w:rsid w:val="003E56B2"/>
    <w:rsid w:val="003E5FF1"/>
    <w:rsid w:val="003F3973"/>
    <w:rsid w:val="0041139F"/>
    <w:rsid w:val="0042257B"/>
    <w:rsid w:val="0042267C"/>
    <w:rsid w:val="00460408"/>
    <w:rsid w:val="004770D2"/>
    <w:rsid w:val="0049234E"/>
    <w:rsid w:val="004B27C7"/>
    <w:rsid w:val="004D2ED9"/>
    <w:rsid w:val="004E19CD"/>
    <w:rsid w:val="004F2D0C"/>
    <w:rsid w:val="005255F6"/>
    <w:rsid w:val="00547D9E"/>
    <w:rsid w:val="005701EE"/>
    <w:rsid w:val="00585951"/>
    <w:rsid w:val="00586E64"/>
    <w:rsid w:val="00590396"/>
    <w:rsid w:val="005A7E06"/>
    <w:rsid w:val="005B50D2"/>
    <w:rsid w:val="005C2037"/>
    <w:rsid w:val="005D18F5"/>
    <w:rsid w:val="005D5730"/>
    <w:rsid w:val="005F512A"/>
    <w:rsid w:val="00604616"/>
    <w:rsid w:val="00612D60"/>
    <w:rsid w:val="00617231"/>
    <w:rsid w:val="006276CE"/>
    <w:rsid w:val="00652675"/>
    <w:rsid w:val="006F1796"/>
    <w:rsid w:val="00700245"/>
    <w:rsid w:val="00730D02"/>
    <w:rsid w:val="007346B1"/>
    <w:rsid w:val="007509CF"/>
    <w:rsid w:val="007816E1"/>
    <w:rsid w:val="00797A24"/>
    <w:rsid w:val="007A4405"/>
    <w:rsid w:val="007B77FE"/>
    <w:rsid w:val="007D454A"/>
    <w:rsid w:val="008142C8"/>
    <w:rsid w:val="008362B2"/>
    <w:rsid w:val="00840CBC"/>
    <w:rsid w:val="00875924"/>
    <w:rsid w:val="008943C9"/>
    <w:rsid w:val="008C571A"/>
    <w:rsid w:val="008D6A14"/>
    <w:rsid w:val="00905666"/>
    <w:rsid w:val="00906309"/>
    <w:rsid w:val="009414E0"/>
    <w:rsid w:val="009506DD"/>
    <w:rsid w:val="00955621"/>
    <w:rsid w:val="00962DA6"/>
    <w:rsid w:val="00990EE7"/>
    <w:rsid w:val="00997895"/>
    <w:rsid w:val="009A1797"/>
    <w:rsid w:val="009A25CC"/>
    <w:rsid w:val="009C283F"/>
    <w:rsid w:val="009D1AAA"/>
    <w:rsid w:val="009E53BE"/>
    <w:rsid w:val="009E6357"/>
    <w:rsid w:val="009F476E"/>
    <w:rsid w:val="009F5338"/>
    <w:rsid w:val="00A0047F"/>
    <w:rsid w:val="00A20006"/>
    <w:rsid w:val="00A57132"/>
    <w:rsid w:val="00A6144F"/>
    <w:rsid w:val="00A827E3"/>
    <w:rsid w:val="00A8347B"/>
    <w:rsid w:val="00A90D11"/>
    <w:rsid w:val="00AD510D"/>
    <w:rsid w:val="00AD561E"/>
    <w:rsid w:val="00AD5B78"/>
    <w:rsid w:val="00B03466"/>
    <w:rsid w:val="00B26A0E"/>
    <w:rsid w:val="00B35F48"/>
    <w:rsid w:val="00B4563D"/>
    <w:rsid w:val="00B5151F"/>
    <w:rsid w:val="00BA03A3"/>
    <w:rsid w:val="00BA2AE7"/>
    <w:rsid w:val="00BC1EA7"/>
    <w:rsid w:val="00BE1084"/>
    <w:rsid w:val="00BE5B50"/>
    <w:rsid w:val="00C5241C"/>
    <w:rsid w:val="00C63256"/>
    <w:rsid w:val="00C677D1"/>
    <w:rsid w:val="00C80C97"/>
    <w:rsid w:val="00C875B3"/>
    <w:rsid w:val="00C93B74"/>
    <w:rsid w:val="00C9519D"/>
    <w:rsid w:val="00C95A93"/>
    <w:rsid w:val="00CB29C7"/>
    <w:rsid w:val="00CB32A3"/>
    <w:rsid w:val="00CC3FFD"/>
    <w:rsid w:val="00CE2068"/>
    <w:rsid w:val="00CF78BC"/>
    <w:rsid w:val="00D03966"/>
    <w:rsid w:val="00D14B32"/>
    <w:rsid w:val="00D263B3"/>
    <w:rsid w:val="00D33755"/>
    <w:rsid w:val="00D61E2B"/>
    <w:rsid w:val="00D96EBD"/>
    <w:rsid w:val="00DB0081"/>
    <w:rsid w:val="00DB6DB0"/>
    <w:rsid w:val="00DC38BC"/>
    <w:rsid w:val="00DC4F13"/>
    <w:rsid w:val="00DE3034"/>
    <w:rsid w:val="00DF2829"/>
    <w:rsid w:val="00E24CBC"/>
    <w:rsid w:val="00E42758"/>
    <w:rsid w:val="00E47F42"/>
    <w:rsid w:val="00E51B12"/>
    <w:rsid w:val="00E53352"/>
    <w:rsid w:val="00E664E7"/>
    <w:rsid w:val="00E8344B"/>
    <w:rsid w:val="00EE479D"/>
    <w:rsid w:val="00F00B98"/>
    <w:rsid w:val="00F05AB8"/>
    <w:rsid w:val="00F12E18"/>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paragraph" w:customStyle="1" w:styleId="Default">
    <w:name w:val="Default"/>
    <w:basedOn w:val="Normal"/>
    <w:rsid w:val="00E42758"/>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7096602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53020807">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0DCAE955-90D8-40B3-9A4D-AF13FF11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1175</Words>
  <Characters>6702</Characters>
  <Application>Microsoft Office Word</Application>
  <DocSecurity>0</DocSecurity>
  <Lines>55</Lines>
  <Paragraphs>15</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40</cp:revision>
  <dcterms:created xsi:type="dcterms:W3CDTF">2022-05-05T13:17:00Z</dcterms:created>
  <dcterms:modified xsi:type="dcterms:W3CDTF">2024-01-17T16:16:00Z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