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04B237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13 Rhagfyr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1312C7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xml:space="preserve"> 266/23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RYDYCH WEDI GOFYN Y CANLYNOL I NI...</w:t>
      </w:r>
    </w:p>
    <w:p w14:paraId="21700600" w14:textId="77777777" w:rsidR="00FA75F7" w:rsidRDefault="00FA75F7"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0E8851A" w14:textId="28604ACB" w:rsidR="00FA75F7" w:rsidRPr="00FA75F7" w:rsidRDefault="00FA75F7" w:rsidP="00FA75F7">
      <w:pPr>
        <w:rPr>
          <w:rFonts w:eastAsia="Times New Roman"/>
          <w:b/>
          <w:bCs/>
        </w:rPr>
      </w:pPr>
      <w:r>
        <w:rPr>
          <w:b/>
        </w:rPr>
        <w:t>Hoffwn wybod pa archwiliadau rydych yn eu gwneud i sicrhau bod gyrwyr yn gymwys i yrru trên. Er enghraifft, wrth drefnu’r rota gyrwyr, ydych chi’n gwirio cymwysterau gyrwyr? </w:t>
      </w:r>
    </w:p>
    <w:p w14:paraId="7CC37EBD" w14:textId="69FCAEC5" w:rsidR="00FA75F7" w:rsidRPr="00FA75F7" w:rsidRDefault="00FA75F7" w:rsidP="00FA75F7">
      <w:pPr>
        <w:rPr>
          <w:rFonts w:eastAsia="Times New Roman"/>
          <w:b/>
          <w:bCs/>
        </w:rPr>
      </w:pPr>
      <w:r>
        <w:rPr>
          <w:b/>
        </w:rPr>
        <w:t>Pa fesurau sydd gennych ar waith i sicrhau nad yw gyrwyr heb gymwysterau yn gyrru trenau? </w:t>
      </w:r>
    </w:p>
    <w:p w14:paraId="72E2054E" w14:textId="77777777" w:rsidR="00FA75F7" w:rsidRPr="00FA75F7" w:rsidRDefault="00FA75F7" w:rsidP="00FA75F7">
      <w:pPr>
        <w:rPr>
          <w:rFonts w:eastAsia="Times New Roman"/>
          <w:b/>
          <w:bCs/>
        </w:rPr>
      </w:pPr>
      <w:r>
        <w:rPr>
          <w:b/>
        </w:rPr>
        <w:t>Yn yr achos hwn, a oes unrhyw wybodaeth wedi’i chofnodi sy’n egluro sut cafodd y gyrrwr hwn ei neilltuo i’r gwaith? A oes modd i mi wneud cais am y Log Digwyddiadau’r Ganolfan Reoli (CCIL)ar gyfer y digwyddiad hwn. </w:t>
      </w:r>
    </w:p>
    <w:p w14:paraId="64B9B87E" w14:textId="3F4E9F46" w:rsidR="0008339D" w:rsidRDefault="00994870" w:rsidP="00962DA6">
      <w:pPr>
        <w:spacing w:after="0"/>
        <w:rPr>
          <w:rFonts w:cstheme="minorHAnsi"/>
          <w:b/>
          <w:bCs/>
        </w:rPr>
      </w:pPr>
      <w:r>
        <w:rPr>
          <w:b/>
        </w:rPr>
        <w:t>YMATEB</w:t>
      </w:r>
    </w:p>
    <w:p w14:paraId="35F96825" w14:textId="77777777" w:rsidR="00FA75F7" w:rsidRDefault="00FA75F7" w:rsidP="00962DA6">
      <w:pPr>
        <w:spacing w:after="0"/>
        <w:rPr>
          <w:rFonts w:cstheme="minorHAnsi"/>
          <w:b/>
          <w:bCs/>
        </w:rPr>
      </w:pPr>
    </w:p>
    <w:p w14:paraId="5CAA9988" w14:textId="10E456AB" w:rsidR="00FA75F7" w:rsidRPr="00FA75F7" w:rsidRDefault="00FA75F7" w:rsidP="00FA75F7">
      <w:r>
        <w:t>Mae gan bob llwybr a math o drên godau penodol y mae ein system amserlennu yn eu gwirio’n awtomatig yn erbyn proffil y criw trenau a byddan nhw ond yn gadael i’r unigolyn gael ei neilltuo i’r gwaith os yw’n gymwys.  Ar yr achlysur hwn, roedd problem a oedd yn golygu nad oedd y cod tyniant yn bresennol ar y crynodeb shifft ar gyfer yr unigolyn.  Rydyn ni’n ymchwilio i ddeall sut y digwyddodd hyn.   </w:t>
      </w:r>
    </w:p>
    <w:p w14:paraId="17D0E96D" w14:textId="77777777" w:rsidR="00FA75F7" w:rsidRDefault="00FA75F7" w:rsidP="00FA75F7">
      <w:r>
        <w:t>Yr hyn sy’n mynd yn ôl am unrhyw faterion sy’n ymwneud â’r system, fel yr uchod, yw bod holl aelodau’r criw trenau’n glir ynghylch pa drenau a llwybrau maen nhw’n gymwys i’w defnyddio a’u bod yn cael eu hasesu’n rheolaidd yn erbyn y rhain gan eu rheolwr llinell.  Felly, ar yr achlysur hwn, tynnodd y Goruchwyliwr sylw ar unwaith at y ffaith nad oedd yn gymwys i weithio’r trên hwnnw.</w:t>
      </w:r>
    </w:p>
    <w:p w14:paraId="2B93FD34" w14:textId="1D2540A7" w:rsidR="00FA75F7" w:rsidRDefault="00FA75F7" w:rsidP="00FA75F7">
      <w:r>
        <w:t>Gweler yr adroddiad sydd ynghlwm.</w:t>
      </w:r>
    </w:p>
    <w:p w14:paraId="2537342C" w14:textId="75A252E8" w:rsidR="0049327A" w:rsidRDefault="0049327A" w:rsidP="00FA75F7">
      <w:r>
        <w:t>Sylwer: o dan y pennawd ‘Materion yn ymwneud â’r System?’ mae’n nodi ‘Na’.  Dim ond ar yr hyn a gofnododd y Rheolydd ar y pryd oedd y cofnod yn seiliedig, ar yr hyn roeddent yn ei wybod ar yr adeg honno, lle tybiwyd nad oedd yn broblem â’r systemau.  Yn ddiweddarach, dangosodd yr ymchwiliad broblem bosibl gyda’r system.</w:t>
      </w:r>
    </w:p>
    <w:p w14:paraId="0FF3F5EF" w14:textId="77777777" w:rsidR="00FA75F7" w:rsidRDefault="00FA75F7" w:rsidP="00FA75F7">
      <w:pPr>
        <w:spacing w:after="0"/>
        <w:rPr>
          <w:rFonts w:cstheme="minorHAnsi"/>
        </w:rPr>
      </w:pPr>
      <w:r>
        <w:t>O ran data personol, mae hyn wedi cael ei olygu ac mae’r esemptiad canlynol yn berthnasol:</w:t>
      </w:r>
    </w:p>
    <w:p w14:paraId="1D2E9629" w14:textId="77777777" w:rsidR="00FA75F7" w:rsidRDefault="00FA75F7" w:rsidP="00FA75F7">
      <w:pPr>
        <w:spacing w:after="0"/>
        <w:rPr>
          <w:rFonts w:cstheme="minorHAnsi"/>
        </w:rPr>
      </w:pPr>
    </w:p>
    <w:p w14:paraId="1F436F8C" w14:textId="77777777" w:rsidR="00FA75F7" w:rsidRPr="00833F57" w:rsidRDefault="00FA75F7" w:rsidP="00FA75F7">
      <w:pPr>
        <w:spacing w:after="0"/>
        <w:rPr>
          <w:rFonts w:cstheme="minorHAnsi"/>
          <w:b/>
          <w:bCs/>
        </w:rPr>
      </w:pPr>
      <w:r>
        <w:rPr>
          <w:b/>
        </w:rPr>
        <w:t>Adran 40 – Data personol</w:t>
      </w:r>
    </w:p>
    <w:p w14:paraId="791B20BA" w14:textId="77777777" w:rsidR="00FA75F7" w:rsidRDefault="00FA75F7" w:rsidP="00FA75F7">
      <w:pPr>
        <w:spacing w:after="0"/>
        <w:rPr>
          <w:rFonts w:cstheme="minorHAnsi"/>
          <w:b/>
          <w:bCs/>
        </w:rPr>
      </w:pPr>
    </w:p>
    <w:p w14:paraId="20C37BBB" w14:textId="77777777" w:rsidR="00FA75F7" w:rsidRDefault="00FA75F7" w:rsidP="00FA75F7">
      <w:r>
        <w:t>Mae Adran 17(1) o Ddeddf Rhyddid Gwybodaeth 2000 yn gofyn bod Trafnidiaeth Cymru, wrth wrthod darparu gwybodaeth (am fod yr wybodaeth wedi’i hesemptio) yn rhoi nodyn i’r ymgeisydd sy’n,</w:t>
      </w:r>
    </w:p>
    <w:p w14:paraId="066E67AA" w14:textId="77777777" w:rsidR="00FA75F7" w:rsidRDefault="00FA75F7" w:rsidP="00FA75F7">
      <w:pPr>
        <w:pStyle w:val="ListParagraph"/>
        <w:numPr>
          <w:ilvl w:val="0"/>
          <w:numId w:val="11"/>
        </w:numPr>
        <w:spacing w:after="160" w:line="259" w:lineRule="auto"/>
        <w:contextualSpacing/>
      </w:pPr>
      <w:r>
        <w:t>Datgan y ffaith,</w:t>
      </w:r>
    </w:p>
    <w:p w14:paraId="548B971C" w14:textId="77777777" w:rsidR="00FA75F7" w:rsidRDefault="00FA75F7" w:rsidP="00FA75F7">
      <w:pPr>
        <w:pStyle w:val="ListParagraph"/>
        <w:numPr>
          <w:ilvl w:val="0"/>
          <w:numId w:val="11"/>
        </w:numPr>
        <w:spacing w:after="160" w:line="259" w:lineRule="auto"/>
        <w:contextualSpacing/>
      </w:pPr>
      <w:r>
        <w:t xml:space="preserve">Pennu’r esemptiad o dan sylw a hefyd </w:t>
      </w:r>
    </w:p>
    <w:p w14:paraId="0A30E96A" w14:textId="77777777" w:rsidR="00FA75F7" w:rsidRDefault="00FA75F7" w:rsidP="00FA75F7">
      <w:pPr>
        <w:pStyle w:val="ListParagraph"/>
        <w:numPr>
          <w:ilvl w:val="0"/>
          <w:numId w:val="11"/>
        </w:numPr>
        <w:spacing w:after="160" w:line="259" w:lineRule="auto"/>
        <w:contextualSpacing/>
      </w:pPr>
      <w:r>
        <w:t>Datgan (os na fyddai hynny’n amlwg fel arall) pam bod yr esemptiad yn berthnasol</w:t>
      </w:r>
    </w:p>
    <w:p w14:paraId="11772BA0" w14:textId="77777777" w:rsidR="00FA75F7" w:rsidRDefault="00FA75F7" w:rsidP="00FA75F7">
      <w:pPr>
        <w:spacing w:after="0"/>
        <w:rPr>
          <w:rFonts w:cstheme="minorHAnsi"/>
          <w:b/>
          <w:bCs/>
        </w:rPr>
      </w:pPr>
      <w:r>
        <w:rPr>
          <w:b/>
        </w:rPr>
        <w:t>Adran 40(2) – Data personol</w:t>
      </w:r>
    </w:p>
    <w:p w14:paraId="23D161BC" w14:textId="77777777" w:rsidR="00FA75F7" w:rsidRDefault="00FA75F7" w:rsidP="00FA75F7">
      <w:pPr>
        <w:spacing w:after="0"/>
        <w:rPr>
          <w:rFonts w:cstheme="minorHAnsi"/>
          <w:b/>
          <w:bCs/>
        </w:rPr>
      </w:pPr>
    </w:p>
    <w:p w14:paraId="329F1D26" w14:textId="064C0BDE" w:rsidR="00FA75F7" w:rsidRDefault="00FA75F7" w:rsidP="00FA75F7">
      <w:pPr>
        <w:spacing w:after="0"/>
        <w:rPr>
          <w:rFonts w:cstheme="minorHAnsi"/>
        </w:rPr>
      </w:pPr>
      <w:r>
        <w:t xml:space="preserve">O dan yr </w:t>
      </w:r>
      <w:r w:rsidR="001C7329" w:rsidRPr="001C7329">
        <w:t xml:space="preserve">esemptiad </w:t>
      </w:r>
      <w:r>
        <w:t>hwn, ni ddylid datgelu data personol os byddai hyn yn mynd yn groes i’r egwyddorion diogelu data.</w:t>
      </w:r>
    </w:p>
    <w:p w14:paraId="1D2E08F5" w14:textId="77777777" w:rsidR="00FA75F7" w:rsidRDefault="00FA75F7" w:rsidP="00FA75F7">
      <w:pPr>
        <w:spacing w:after="0"/>
        <w:rPr>
          <w:rFonts w:cstheme="minorHAnsi"/>
        </w:rPr>
      </w:pPr>
    </w:p>
    <w:p w14:paraId="0A1A63CB" w14:textId="77777777" w:rsidR="00FA75F7" w:rsidRDefault="00FA75F7" w:rsidP="00FA75F7">
      <w:pPr>
        <w:spacing w:after="0"/>
        <w:rPr>
          <w:rFonts w:cstheme="minorHAnsi"/>
        </w:rPr>
      </w:pPr>
      <w:r>
        <w:t xml:space="preserve">Diffinnir data personol gan y Rheoliad Cyffredinol ar Ddiogelu Data (GDPR) fel a ganlyn - </w:t>
      </w:r>
    </w:p>
    <w:p w14:paraId="31730C7B" w14:textId="77777777" w:rsidR="00FA75F7" w:rsidRDefault="00FA75F7" w:rsidP="00FA75F7">
      <w:pPr>
        <w:spacing w:after="0"/>
        <w:rPr>
          <w:rFonts w:cstheme="minorHAnsi"/>
        </w:rPr>
      </w:pPr>
    </w:p>
    <w:p w14:paraId="25B2AB31" w14:textId="507A6C22" w:rsidR="00FA75F7" w:rsidRDefault="00FA75F7" w:rsidP="00FA75F7">
      <w:pPr>
        <w:spacing w:after="0"/>
        <w:rPr>
          <w:rFonts w:cstheme="minorHAnsi"/>
          <w:b/>
          <w:bCs/>
          <w:color w:val="000000"/>
          <w:shd w:val="clear" w:color="auto" w:fill="F7F3F0"/>
        </w:rPr>
      </w:pPr>
      <w:r>
        <w:rPr>
          <w:b/>
        </w:rPr>
        <w:t xml:space="preserve"> </w:t>
      </w:r>
      <w:r w:rsidR="00330CC3">
        <w:rPr>
          <w:b/>
        </w:rPr>
        <w:t>“</w:t>
      </w:r>
      <w:r w:rsidR="00330CC3">
        <w:rPr>
          <w:b/>
          <w:color w:val="000000"/>
          <w:highlight w:val="lightGray"/>
          <w:shd w:val="clear" w:color="auto" w:fill="F7F3F0"/>
        </w:rPr>
        <w:t>Mae ‘data personol’</w:t>
      </w:r>
      <w:bookmarkStart w:id="0" w:name="_GoBack"/>
      <w:bookmarkEnd w:id="0"/>
      <w:r>
        <w:rPr>
          <w:b/>
          <w:color w:val="000000"/>
          <w:highlight w:val="lightGray"/>
          <w:shd w:val="clear" w:color="auto" w:fill="F7F3F0"/>
        </w:rPr>
        <w:t xml:space="preserve"> yn golygu unrhyw wybodaeth sy’n ymwneud ag unigolyn y gellir ei adnabod neu unigolyn byw y gellir ei adnabod (‘gwrthrych data.’) Ystyr unigolyn byw y gellir ei adnabod yw unigolyn y gellir ei adnabod, yn uniongyrchol neu’n anuniongyrchol, yn benodol drwy gyfeirio at dynodwr fel enw, rhif adnabod, data lleoliad neu ddynodwr ar-lein, neu un neu fwy o ffactorau sy’n benodol i hunaniaeth gorfforol, ffisiolegol, genetig, meddyliol, economaidd, diwylliannol neu gymdeithasol yr unigolyn byw hwnnw.”</w:t>
      </w:r>
    </w:p>
    <w:p w14:paraId="525E4ED7" w14:textId="77777777" w:rsidR="00FA75F7" w:rsidRPr="00922818" w:rsidRDefault="00FA75F7" w:rsidP="00FA75F7">
      <w:pPr>
        <w:pStyle w:val="NormalWeb"/>
        <w:shd w:val="clear" w:color="auto" w:fill="FFFFFF"/>
        <w:spacing w:before="0" w:beforeAutospacing="0" w:after="0" w:afterAutospacing="0"/>
        <w:rPr>
          <w:rStyle w:val="Strong"/>
          <w:b w:val="0"/>
          <w:bCs w:val="0"/>
          <w:color w:val="111111"/>
        </w:rPr>
      </w:pPr>
      <w:r>
        <w:rPr>
          <w:rStyle w:val="Strong"/>
          <w:color w:val="111111"/>
        </w:rPr>
        <w:t>Yn yr achos hwn, rydyn ni wedi nodi mai data personol yw enwau unigolion A BYDD rhyddhau enw’r unigolion hyn YN MYND yn groes i egwyddor gyntaf y Ddeddf Diogelu Data.</w:t>
      </w:r>
    </w:p>
    <w:p w14:paraId="0703785C" w14:textId="77777777" w:rsidR="00FA75F7" w:rsidRDefault="00FA75F7" w:rsidP="00FA75F7">
      <w:pPr>
        <w:pStyle w:val="NormalWeb"/>
        <w:shd w:val="clear" w:color="auto" w:fill="FFFFFF"/>
        <w:spacing w:before="0" w:beforeAutospacing="0" w:after="0" w:afterAutospacing="0"/>
      </w:pPr>
    </w:p>
    <w:p w14:paraId="2B2D0444" w14:textId="77777777" w:rsidR="00FA75F7" w:rsidRDefault="00FA75F7" w:rsidP="00FA75F7">
      <w:pPr>
        <w:pStyle w:val="NormalWeb"/>
        <w:shd w:val="clear" w:color="auto" w:fill="FFFFFF"/>
        <w:spacing w:before="0" w:beforeAutospacing="0" w:after="0" w:afterAutospacing="0"/>
      </w:pPr>
      <w:r>
        <w:t xml:space="preserve">Mae’n bwysig cofio bod datgelu gwybodaeth bersonol o dan y Ddeddf Rhyddid Gwybodaeth yn gyfystyr â'r “byd yn gyffredinol”. </w:t>
      </w:r>
    </w:p>
    <w:p w14:paraId="790969EF" w14:textId="77777777" w:rsidR="00FA75F7" w:rsidRDefault="00FA75F7" w:rsidP="00FA75F7">
      <w:pPr>
        <w:pStyle w:val="NormalWeb"/>
        <w:shd w:val="clear" w:color="auto" w:fill="FFFFFF"/>
        <w:spacing w:before="0" w:beforeAutospacing="0" w:after="0" w:afterAutospacing="0"/>
      </w:pPr>
      <w:r>
        <w:t>Y cwestiwn allweddol wrth ddatgelu gwybodaeth bersonol yw beth fydd y niwed a fydd yn deillio o ddatgelu.</w:t>
      </w:r>
    </w:p>
    <w:p w14:paraId="7931EFBB" w14:textId="77777777" w:rsidR="00FA75F7" w:rsidRDefault="00FA75F7" w:rsidP="00FA75F7">
      <w:pPr>
        <w:pStyle w:val="NormalWeb"/>
        <w:shd w:val="clear" w:color="auto" w:fill="FFFFFF"/>
        <w:spacing w:before="0" w:beforeAutospacing="0" w:after="0" w:afterAutospacing="0"/>
        <w:rPr>
          <w:rFonts w:ascii="Arial" w:hAnsi="Arial" w:cs="Arial"/>
          <w:color w:val="555555"/>
          <w:sz w:val="21"/>
          <w:szCs w:val="21"/>
        </w:rPr>
      </w:pPr>
    </w:p>
    <w:p w14:paraId="0BC6C728" w14:textId="77777777" w:rsidR="00FA75F7" w:rsidRDefault="00FA75F7" w:rsidP="00FA75F7">
      <w:pPr>
        <w:spacing w:after="0"/>
        <w:rPr>
          <w:rFonts w:cstheme="minorHAnsi"/>
        </w:rPr>
      </w:pPr>
      <w:r>
        <w:t>Ni fyddai gan yr unigolion dan sylw unrhyw ddisgwyliad y byddai eu henw'n cael ei ryddhau i’r cyhoedd.</w:t>
      </w:r>
    </w:p>
    <w:p w14:paraId="63D3047F" w14:textId="77777777" w:rsidR="00FA75F7" w:rsidRDefault="00FA75F7" w:rsidP="00FA75F7">
      <w:pPr>
        <w:spacing w:after="0"/>
        <w:rPr>
          <w:rFonts w:cstheme="minorHAnsi"/>
        </w:rPr>
      </w:pPr>
    </w:p>
    <w:p w14:paraId="31607A78" w14:textId="77777777" w:rsidR="00FA75F7" w:rsidRDefault="00FA75F7" w:rsidP="00FA75F7">
      <w:pPr>
        <w:spacing w:after="0"/>
        <w:rPr>
          <w:rFonts w:cstheme="minorHAnsi"/>
        </w:rPr>
      </w:pPr>
      <w:r>
        <w:t xml:space="preserve">Mae’r effaith negyddol bosibl a allai ddeillio o ddatgelu yn drech nag unrhyw fudd cyhoeddus. </w:t>
      </w: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bCs/>
          <w:noProof/>
          <w:lang w:eastAsia="cy-GB"/>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0"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Cheshire, SK9 5AF neu gallwch chi gysylltu â Swyddfa’r Comisiynydd Gwybodaeth drwy adran ‘Gwneud Cwyn’ eu gwefan ar y ddolen hon: </w:t>
                            </w:r>
                            <w:hyperlink r:id="rId11"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Pr>
                          <w:b/>
                        </w:rPr>
                        <w:t xml:space="preserve">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 xml:space="preserve">Trafnidiaeth Cymru, 3 Llys Cadwyn, Pontypridd, CF37 4TH</w:t>
                      </w:r>
                      <w:r>
                        <w:t xml:space="preserve"> neu </w:t>
                      </w:r>
                      <w:hyperlink r:id="rId12" w:history="1">
                        <w:r>
                          <w:rPr>
                            <w:rStyle w:val="Hyperlink"/>
                            <w:color w:val="auto"/>
                          </w:rPr>
                          <w:t xml:space="preserve">freedomofinformation@tfw.wales</w:t>
                        </w:r>
                      </w:hyperlink>
                      <w:r>
                        <w:t xml:space="preserve">.</w:t>
                      </w:r>
                      <w:r>
                        <w:t xml:space="preserve"> </w:t>
                      </w:r>
                      <w:r>
                        <w:t xml:space="preserve">Rhaid i’ch cais gael ei gyflwyno cyn pen 40 diwrnod gwaith ar ôl derbyn y llythyr hwn.</w:t>
                      </w:r>
                      <w:r>
                        <w:t xml:space="preserve"> </w:t>
                      </w:r>
                      <w:r>
                        <w:t xml:space="preserve">Os nad ydych chi’n fodlon ar ganlyniad yr adolygiad mewnol, mae gennych hawl i wneud cais yn uniongyrchol i’r Comisiynydd Gwybodaeth am benderfyniad.</w:t>
                      </w:r>
                      <w:r>
                        <w:t xml:space="preserve">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Cheshire, SK9 5AF neu gallwch chi gysylltu â Swyddfa’r Comisiynydd Gwybodaeth drwy adran ‘Gwneud Cwyn’ eu gwefan ar y ddolen hon: </w:t>
                      </w:r>
                      <w:hyperlink r:id="rId13" w:history="1">
                        <w:r>
                          <w:rPr>
                            <w:rStyle w:val="Hyperlink"/>
                            <w:color w:val="auto"/>
                          </w:rPr>
                          <w:t xml:space="preserve">https:/ico.org.uk/make-a-complaint/</w:t>
                        </w:r>
                      </w:hyperlink>
                      <w:r>
                        <w:t xml:space="preserve"> </w:t>
                      </w:r>
                    </w:p>
                    <w:p w14:paraId="75A99A8C" w14:textId="77777777" w:rsidR="00E24CBC" w:rsidRDefault="00E24CBC" w:rsidP="00E24CBC">
                      <w:pPr>
                        <w:jc w:val="both"/>
                      </w:pPr>
                      <w:r>
                        <w:t xml:space="preserve">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eastAsia="cy-GB"/>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abstractNumId w:val="3"/>
  </w:num>
  <w:num w:numId="2">
    <w:abstractNumId w:val="7"/>
  </w:num>
  <w:num w:numId="3">
    <w:abstractNumId w:val="0"/>
  </w:num>
  <w:num w:numId="4">
    <w:abstractNumId w:val="10"/>
  </w:num>
  <w:num w:numId="5">
    <w:abstractNumId w:val="6"/>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C7329"/>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0CC3"/>
    <w:rsid w:val="0033704E"/>
    <w:rsid w:val="00337EE8"/>
    <w:rsid w:val="003605D6"/>
    <w:rsid w:val="003A66BB"/>
    <w:rsid w:val="003B64F1"/>
    <w:rsid w:val="003E56B2"/>
    <w:rsid w:val="003E5FF1"/>
    <w:rsid w:val="003F3973"/>
    <w:rsid w:val="0041139F"/>
    <w:rsid w:val="0042257B"/>
    <w:rsid w:val="00431B9A"/>
    <w:rsid w:val="00446F4F"/>
    <w:rsid w:val="00460408"/>
    <w:rsid w:val="00473D37"/>
    <w:rsid w:val="004770D2"/>
    <w:rsid w:val="0049234E"/>
    <w:rsid w:val="0049327A"/>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A75F7"/>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A7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041682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77446318">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26081-E8E2-4512-B920-C3E9EA66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infopath/2007/PartnerControls"/>
    <ds:schemaRef ds:uri="71b84520-2f4a-4240-92c9-4d84398e9fa5"/>
    <ds:schemaRef ds:uri="http://schemas.microsoft.com/office/2006/documentManagement/types"/>
    <ds:schemaRef ds:uri="http://purl.org/dc/elements/1.1/"/>
    <ds:schemaRef ds:uri="http://schemas.microsoft.com/office/2006/metadata/properties"/>
    <ds:schemaRef ds:uri="4c0ed1d7-e579-4868-9d2f-0a2617519e5d"/>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5</cp:revision>
  <dcterms:created xsi:type="dcterms:W3CDTF">2023-12-13T14:45:00Z</dcterms:created>
  <dcterms:modified xsi:type="dcterms:W3CDTF">2024-02-09T12:01:00Z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