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0939176" w14:textId="6E48DF45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  <w:rFonts w:ascii="Calibri" w:hAnsi="Calibri" w:cs="Calibri"/>
        </w:rPr>
      </w:pPr>
      <w:r>
        <w:rPr>
          <w:rStyle w:val="normaltextrun"/>
          <w:sz w:val="22"/>
          <w:b/>
          <w:rFonts w:ascii="Calibri" w:hAnsi="Calibri"/>
        </w:rPr>
        <w:t xml:space="preserve">Dyddiad cyhoeddi:</w:t>
      </w:r>
      <w:r>
        <w:rPr>
          <w:rStyle w:val="normaltextrun"/>
          <w:sz w:val="22"/>
          <w:rFonts w:ascii="Calibri" w:hAnsi="Calibri"/>
        </w:rPr>
        <w:t xml:space="preserve"> </w:t>
      </w:r>
      <w:r>
        <w:rPr>
          <w:rStyle w:val="normaltextrun"/>
          <w:sz w:val="22"/>
          <w:rFonts w:ascii="Calibri" w:hAnsi="Calibri"/>
        </w:rPr>
        <w:t xml:space="preserve">22</w:t>
      </w:r>
      <w:r>
        <w:rPr>
          <w:rStyle w:val="normaltextrun"/>
          <w:sz w:val="22"/>
          <w:vertAlign w:val="superscript"/>
          <w:rFonts w:ascii="Calibri" w:hAnsi="Calibri"/>
        </w:rPr>
        <w:t xml:space="preserve">ain</w:t>
      </w:r>
      <w:r>
        <w:rPr>
          <w:rStyle w:val="normaltextrun"/>
          <w:sz w:val="22"/>
          <w:rFonts w:ascii="Calibri" w:hAnsi="Calibri"/>
        </w:rPr>
        <w:t xml:space="preserve"> Chwefror 2023</w:t>
      </w:r>
    </w:p>
    <w:p w14:paraId="6AC36F65" w14:textId="77777777" w:rsidR="00084A12" w:rsidRPr="00F93D1E" w:rsidRDefault="00084A12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65C02B3D" w14:textId="4F2875AF" w:rsidR="0029704C" w:rsidRDefault="0029704C" w:rsidP="009C2521">
      <w:pPr>
        <w:pStyle w:val="paragraph"/>
        <w:spacing w:before="0" w:beforeAutospacing="0" w:after="0" w:afterAutospacing="0"/>
        <w:textAlignment w:val="baseline"/>
        <w:rPr>
          <w:rStyle w:val="eop"/>
          <w:color w:val="FF0000"/>
          <w:sz w:val="26"/>
          <w:szCs w:val="28"/>
          <w:rFonts w:ascii="&amp;quot" w:hAnsi="&amp;quot"/>
        </w:rPr>
      </w:pPr>
      <w:r>
        <w:rPr>
          <w:color w:val="FF0000"/>
          <w:rStyle w:val="normaltextrun"/>
          <w:b/>
          <w:sz w:val="28"/>
          <w:rFonts w:ascii="Calibri" w:hAnsi="Calibri"/>
        </w:rPr>
        <w:t xml:space="preserve">Cais Rhyddid Gwybodaeth</w:t>
      </w:r>
      <w:r>
        <w:rPr>
          <w:color w:val="FF0000"/>
          <w:rStyle w:val="eop"/>
          <w:sz w:val="26"/>
          <w:rFonts w:ascii="&amp;quot" w:hAnsi="&amp;quot"/>
        </w:rPr>
        <w:t xml:space="preserve"> 28/24</w:t>
      </w:r>
    </w:p>
    <w:p w14:paraId="7488B3BD" w14:textId="77777777" w:rsidR="009C2521" w:rsidRPr="003605D6" w:rsidRDefault="009C2521" w:rsidP="009C252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847ADDC" w14:textId="6DCBD39E" w:rsidR="0029704C" w:rsidRPr="003605D6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  <w:rFonts w:asciiTheme="minorHAnsi" w:hAnsiTheme="minorHAnsi" w:cstheme="minorHAnsi"/>
        </w:rPr>
      </w:pPr>
      <w:r>
        <w:rPr>
          <w:rStyle w:val="normaltextrun"/>
          <w:sz w:val="22"/>
          <w:rFonts w:asciiTheme="minorHAnsi" w:hAnsiTheme="minorHAnsi"/>
        </w:rPr>
        <w:t xml:space="preserve">Rydyn ni’n ysgrifennu atoch i ymateb i'r Cais Rhyddid Gwybodaeth a wnaethoch.</w:t>
      </w:r>
      <w:r>
        <w:rPr>
          <w:rStyle w:val="normaltextrun"/>
          <w:sz w:val="22"/>
          <w:rFonts w:asciiTheme="minorHAnsi" w:hAnsiTheme="minorHAnsi"/>
        </w:rPr>
        <w:t xml:space="preserve"> </w:t>
      </w:r>
      <w:r>
        <w:rPr>
          <w:rStyle w:val="normaltextrun"/>
          <w:sz w:val="22"/>
          <w:rFonts w:asciiTheme="minorHAnsi" w:hAnsiTheme="minorHAnsi"/>
        </w:rPr>
        <w:t xml:space="preserve">Mae eich cais wedi cael ei ystyried yn unol â gofynion y Ddeddf Rhyddid Gwybodaeth a’n Polisi Rheoli Data a Gwybodaeth.</w:t>
      </w:r>
    </w:p>
    <w:p w14:paraId="10E59D94" w14:textId="77777777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sz w:val="22"/>
          <w:szCs w:val="22"/>
          <w:rFonts w:asciiTheme="minorHAnsi" w:hAnsiTheme="minorHAnsi" w:cstheme="minorHAnsi"/>
        </w:rPr>
      </w:pPr>
      <w:r>
        <w:rPr>
          <w:rStyle w:val="eop"/>
          <w:sz w:val="22"/>
          <w:rFonts w:asciiTheme="minorHAnsi" w:hAnsiTheme="minorHAnsi"/>
        </w:rPr>
        <w:t xml:space="preserve"> </w:t>
      </w:r>
    </w:p>
    <w:p w14:paraId="4641133A" w14:textId="1458D0B0" w:rsidR="00337EE8" w:rsidRDefault="0023065D" w:rsidP="00A7194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  <w:rFonts w:asciiTheme="minorHAnsi" w:hAnsiTheme="minorHAnsi" w:cstheme="minorHAnsi"/>
        </w:rPr>
      </w:pPr>
      <w:r>
        <w:rPr>
          <w:rStyle w:val="normaltextrun"/>
          <w:b/>
          <w:sz w:val="22"/>
          <w:rFonts w:asciiTheme="minorHAnsi" w:hAnsiTheme="minorHAnsi"/>
        </w:rPr>
        <w:t xml:space="preserve">RYDYCH WEDI GOFYN Y CANLYNOL I NI...</w:t>
      </w:r>
    </w:p>
    <w:p w14:paraId="225F6BA5" w14:textId="77777777" w:rsidR="00F91E73" w:rsidRDefault="00F91E73" w:rsidP="00A7194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783C191A" w14:textId="2DE0D91F" w:rsidR="00E154DF" w:rsidRPr="00E154DF" w:rsidRDefault="00E154DF" w:rsidP="00E154DF">
      <w:pPr>
        <w:pStyle w:val="ListParagraph"/>
        <w:numPr>
          <w:ilvl w:val="0"/>
          <w:numId w:val="15"/>
        </w:numPr>
        <w:rPr>
          <w:b/>
          <w:bCs/>
          <w:color w:val="313131"/>
          <w:rFonts w:asciiTheme="minorHAnsi" w:eastAsia="Times New Roman" w:hAnsiTheme="minorHAnsi" w:cstheme="minorHAnsi"/>
        </w:rPr>
      </w:pPr>
      <w:r>
        <w:rPr>
          <w:b/>
          <w:color w:val="313131"/>
          <w:rFonts w:asciiTheme="minorHAnsi" w:hAnsiTheme="minorHAnsi"/>
        </w:rPr>
        <w:t xml:space="preserve">- Faint o goed sydd wedi cael eu torri yn y gwaith ar gyfer Trafnidiaeth Cymru o Fae Caerdydd i Ganol Dinas Caerdydd?</w:t>
      </w:r>
    </w:p>
    <w:p w14:paraId="5F10E24B" w14:textId="2F12B8EF" w:rsidR="00E154DF" w:rsidRPr="00E154DF" w:rsidRDefault="00E154DF" w:rsidP="00E154DF">
      <w:pPr>
        <w:pStyle w:val="ListParagraph"/>
        <w:numPr>
          <w:ilvl w:val="0"/>
          <w:numId w:val="15"/>
        </w:numPr>
        <w:rPr>
          <w:b/>
          <w:bCs/>
          <w:color w:val="313131"/>
          <w:rFonts w:asciiTheme="minorHAnsi" w:eastAsia="Times New Roman" w:hAnsiTheme="minorHAnsi" w:cstheme="minorHAnsi"/>
        </w:rPr>
      </w:pPr>
      <w:r>
        <w:rPr>
          <w:b/>
          <w:color w:val="313131"/>
          <w:rFonts w:asciiTheme="minorHAnsi" w:hAnsiTheme="minorHAnsi"/>
        </w:rPr>
        <w:t xml:space="preserve">-O ran yr ardal, faint o lystyfiant sydd wedi cael ei dynnu neu ei ddinistrio wrth greu rheilffordd newydd Bae Caerdydd?</w:t>
      </w:r>
    </w:p>
    <w:p w14:paraId="42BCE37A" w14:textId="0F45B48E" w:rsidR="00E154DF" w:rsidRPr="00E154DF" w:rsidRDefault="00E154DF" w:rsidP="00E154DF">
      <w:pPr>
        <w:pStyle w:val="ListParagraph"/>
        <w:numPr>
          <w:ilvl w:val="0"/>
          <w:numId w:val="15"/>
        </w:numPr>
        <w:rPr>
          <w:b/>
          <w:bCs/>
          <w:color w:val="313131"/>
          <w:rFonts w:asciiTheme="minorHAnsi" w:eastAsia="Times New Roman" w:hAnsiTheme="minorHAnsi" w:cstheme="minorHAnsi"/>
        </w:rPr>
      </w:pPr>
      <w:r>
        <w:rPr>
          <w:b/>
          <w:color w:val="313131"/>
          <w:rFonts w:asciiTheme="minorHAnsi" w:hAnsiTheme="minorHAnsi"/>
        </w:rPr>
        <w:t xml:space="preserve">-A yw Trafnidiaeth Cymru wedi ystyried unrhyw gynefinoedd anifeiliaid wrth gynllunio a chreu’r rheilffordd?</w:t>
      </w:r>
    </w:p>
    <w:p w14:paraId="4DDA4E78" w14:textId="7234715A" w:rsidR="00E154DF" w:rsidRPr="00E154DF" w:rsidRDefault="00E154DF" w:rsidP="00E154DF">
      <w:pPr>
        <w:pStyle w:val="ListParagraph"/>
        <w:numPr>
          <w:ilvl w:val="0"/>
          <w:numId w:val="15"/>
        </w:numPr>
        <w:rPr>
          <w:b/>
          <w:bCs/>
          <w:color w:val="313131"/>
          <w:rFonts w:asciiTheme="minorHAnsi" w:eastAsia="Times New Roman" w:hAnsiTheme="minorHAnsi" w:cstheme="minorHAnsi"/>
        </w:rPr>
      </w:pPr>
      <w:r>
        <w:rPr>
          <w:b/>
          <w:color w:val="313131"/>
          <w:rFonts w:asciiTheme="minorHAnsi" w:hAnsiTheme="minorHAnsi"/>
        </w:rPr>
        <w:t xml:space="preserve">-A yw cynefinoedd anifeiliaid ac effaith amgylcheddol tynnu llystyfiant wedi cael eu hystyried yn y broses o greu rheilffordd Bae Caerdydd?</w:t>
      </w:r>
    </w:p>
    <w:p w14:paraId="05E0BF07" w14:textId="10D6CAE2" w:rsidR="00E154DF" w:rsidRPr="00E154DF" w:rsidRDefault="00E154DF" w:rsidP="00E154DF">
      <w:pPr>
        <w:pStyle w:val="ListParagraph"/>
        <w:numPr>
          <w:ilvl w:val="0"/>
          <w:numId w:val="15"/>
        </w:numPr>
        <w:rPr>
          <w:b/>
          <w:bCs/>
          <w:color w:val="313131"/>
          <w:rFonts w:asciiTheme="minorHAnsi" w:eastAsia="Times New Roman" w:hAnsiTheme="minorHAnsi" w:cstheme="minorHAnsi"/>
        </w:rPr>
      </w:pPr>
      <w:r>
        <w:rPr>
          <w:b/>
          <w:color w:val="313131"/>
          <w:rFonts w:asciiTheme="minorHAnsi" w:hAnsiTheme="minorHAnsi"/>
        </w:rPr>
        <w:t xml:space="preserve">-A fydd yn rhaid torri unrhyw lystyfiant arall cyn cwblhau’r rheilffordd?</w:t>
      </w:r>
    </w:p>
    <w:p w14:paraId="3A0AF17C" w14:textId="37B5C3BA" w:rsidR="008106E9" w:rsidRDefault="00E154DF" w:rsidP="00E154DF">
      <w:pPr>
        <w:pStyle w:val="ListParagraph"/>
        <w:numPr>
          <w:ilvl w:val="0"/>
          <w:numId w:val="15"/>
        </w:numPr>
        <w:rPr>
          <w:b/>
          <w:bCs/>
          <w:color w:val="313131"/>
          <w:rFonts w:asciiTheme="minorHAnsi" w:eastAsia="Times New Roman" w:hAnsiTheme="minorHAnsi" w:cstheme="minorHAnsi"/>
        </w:rPr>
      </w:pPr>
      <w:r>
        <w:rPr>
          <w:b/>
          <w:color w:val="313131"/>
          <w:rFonts w:asciiTheme="minorHAnsi" w:hAnsiTheme="minorHAnsi"/>
        </w:rPr>
        <w:t xml:space="preserve">-Beth fydd Trafnidiaeth Cymru yn ei wneud i wrthbwyso effaith amgylcheddol rheilffordd newydd y Bae?</w:t>
      </w:r>
    </w:p>
    <w:p w14:paraId="189E11A5" w14:textId="77777777" w:rsidR="00E154DF" w:rsidRPr="00E154DF" w:rsidRDefault="00E154DF" w:rsidP="00E154DF">
      <w:pPr>
        <w:pStyle w:val="ListParagraph"/>
        <w:rPr>
          <w:rFonts w:asciiTheme="minorHAnsi" w:eastAsia="Times New Roman" w:hAnsiTheme="minorHAnsi" w:cstheme="minorHAnsi"/>
          <w:b/>
          <w:bCs/>
          <w:color w:val="313131"/>
        </w:rPr>
      </w:pPr>
    </w:p>
    <w:p w14:paraId="2F1E7CC9" w14:textId="4F0DE4E0" w:rsidR="005A5ED0" w:rsidRDefault="00994870" w:rsidP="005A5ED0">
      <w:pPr>
        <w:spacing w:after="0" w:line="240" w:lineRule="auto"/>
        <w:rPr>
          <w:b/>
          <w:bCs/>
          <w:rFonts w:cstheme="minorHAnsi"/>
        </w:rPr>
      </w:pPr>
      <w:r>
        <w:rPr>
          <w:b/>
        </w:rPr>
        <w:t xml:space="preserve">YMATEB</w:t>
      </w:r>
    </w:p>
    <w:p w14:paraId="50AAD4A6" w14:textId="77777777" w:rsidR="005A5ED0" w:rsidRPr="005A5ED0" w:rsidRDefault="005A5ED0" w:rsidP="005A5ED0">
      <w:pPr>
        <w:spacing w:after="0" w:line="240" w:lineRule="auto"/>
        <w:rPr>
          <w:rFonts w:cstheme="minorHAnsi"/>
          <w:b/>
          <w:bCs/>
        </w:rPr>
      </w:pPr>
    </w:p>
    <w:p w14:paraId="5B5528CA" w14:textId="0485AA6E" w:rsidR="005A5ED0" w:rsidRPr="0086598D" w:rsidRDefault="005A5ED0" w:rsidP="005A5ED0">
      <w:pPr>
        <w:rPr>
          <w:b/>
          <w:bCs/>
          <w:color w:val="313131"/>
          <w:rFonts w:cstheme="minorHAnsi"/>
        </w:rPr>
      </w:pPr>
      <w:r>
        <w:rPr>
          <w:b/>
          <w:color w:val="313131"/>
        </w:rPr>
        <w:t xml:space="preserve">- Faint o goed sydd wedi cael eu torri yn y gwaith ar gyfer Trafnidiaeth Cymru o Fae Caerdydd i Ganol Dinas Caerdydd?</w:t>
      </w:r>
    </w:p>
    <w:p w14:paraId="6D0AA220" w14:textId="77777777" w:rsidR="005A5ED0" w:rsidRDefault="005A5ED0" w:rsidP="005A5ED0">
      <w:pPr>
        <w:rPr>
          <w:rFonts w:ascii="Calibri" w:hAnsi="Calibri"/>
        </w:rPr>
      </w:pPr>
      <w:r>
        <w:t xml:space="preserve">Hyd yma, mae llai na deg coeden wedi cael eu cwympo i hwyluso mynediad i’r rheilffordd gan gerbydau gwaith o Rodfa Lloyd George, ac i sefydlu compowndiau gwaith dros dro a phalis ar gyfer gweithgareddau cynnar y prosiect.</w:t>
      </w:r>
    </w:p>
    <w:p w14:paraId="69C279AA" w14:textId="592A2F1C" w:rsidR="005A5ED0" w:rsidRPr="005A5ED0" w:rsidRDefault="005A5ED0" w:rsidP="005A5ED0">
      <w:r>
        <w:t xml:space="preserve">Roedd yr holl goed dan sylw yn ifanc, gan eu bod wedi cael eu plannu tua’r flwyddyn 2000 dan waith adfywio lleol dan arweiniad Corfforaeth Datblygu Bae Caerdydd.</w:t>
      </w:r>
      <w:r>
        <w:t xml:space="preserve">  </w:t>
      </w:r>
      <w:r>
        <w:t xml:space="preserve">O’r herwydd, ni amcangyfrifir bod unrhyw goeden sbesimen yn hŷn na 35 oed (wedi treulio llai na 25 mlynedd wedi’i phlannu yn y fan a’r lle, ac o dan ddeg oed fel sbesimen plannu safonol, o stoc y feithrinfa).</w:t>
      </w:r>
      <w:r>
        <w:t xml:space="preserve">  </w:t>
      </w:r>
      <w:r>
        <w:t xml:space="preserve">Mae’r rhan fwyaf o goed yr effeithiwyd arnynt yn rhywogaethau anfrodorol i Gymru, gan gynnwys y rhywogaethau </w:t>
      </w:r>
      <w:r>
        <w:rPr>
          <w:i/>
          <w:color w:val="111111"/>
          <w:shd w:val="clear" w:color="auto" w:fill="FFFFFF"/>
        </w:rPr>
        <w:t xml:space="preserve">Liriodendron tulipifera, </w:t>
      </w:r>
      <w:r>
        <w:rPr>
          <w:i/>
        </w:rPr>
        <w:t xml:space="preserve">Pyrus communis</w:t>
      </w:r>
      <w:r>
        <w:rPr>
          <w:i/>
          <w:color w:val="111111"/>
          <w:shd w:val="clear" w:color="auto" w:fill="FFFFFF"/>
        </w:rPr>
        <w:t xml:space="preserve"> a Quercus rubra, </w:t>
      </w:r>
      <w:r>
        <w:rPr>
          <w:color w:val="111111"/>
          <w:shd w:val="clear" w:color="auto" w:fill="FFFFFF"/>
        </w:rPr>
        <w:t xml:space="preserve">sydd â fwy o werth iwtilitaraidd esthetig na’r bwriad o gynnal bioamrywiaeth leol drwy nodweddion sy’n addas i greu cynefinoedd, fel nythod adar neu dyllau cainc i ystlumod glwydo.</w:t>
      </w:r>
    </w:p>
    <w:p w14:paraId="10337B8C" w14:textId="0EE54CE9" w:rsidR="005A5ED0" w:rsidRPr="0086598D" w:rsidRDefault="005A5ED0" w:rsidP="005A5ED0">
      <w:pPr>
        <w:rPr>
          <w:rFonts w:cstheme="minorHAnsi"/>
        </w:rPr>
      </w:pPr>
      <w:r>
        <w:rPr>
          <w:b/>
          <w:color w:val="313131"/>
        </w:rPr>
        <w:t xml:space="preserve">-O ran yr ardal, faint o lystyfiant sydd wedi cael ei dynnu neu ei ddinistrio wrth greu rheilffordd newydd Bae Caerdydd?</w:t>
      </w:r>
    </w:p>
    <w:p w14:paraId="738D131F" w14:textId="50A31B86" w:rsidR="005A5ED0" w:rsidRDefault="005A5ED0" w:rsidP="005A5ED0">
      <w:r>
        <w:t xml:space="preserve">Yn ogystal â choed, disgwylir y bydd y gwaith ym Mae Caerdydd yn effeithio ar y categorïau canlynol o dir.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5"/>
        <w:gridCol w:w="2217"/>
        <w:gridCol w:w="1411"/>
        <w:gridCol w:w="1462"/>
        <w:gridCol w:w="1361"/>
        <w:gridCol w:w="1190"/>
      </w:tblGrid>
      <w:tr w:rsidR="005A5ED0" w14:paraId="22B88BDF" w14:textId="77777777" w:rsidTr="005A5ED0"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37D55" w14:textId="77777777" w:rsidR="005A5ED0" w:rsidRDefault="005A5ED0">
            <w:pPr>
              <w:pStyle w:val="Bodytextstyle"/>
              <w:spacing w:after="0"/>
              <w:jc w:val="both"/>
              <w:rPr>
                <w:b/>
                <w:bCs/>
              </w:rPr>
            </w:pPr>
            <w:r>
              <w:rPr>
                <w:b/>
                <w:color w:val="000000"/>
              </w:rPr>
              <w:t xml:space="preserve">Cod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BDD1B" w14:textId="77777777" w:rsidR="005A5ED0" w:rsidRDefault="005A5ED0">
            <w:pPr>
              <w:pStyle w:val="Bodytextstyle"/>
              <w:spacing w:after="0"/>
              <w:jc w:val="both"/>
              <w:rPr>
                <w:b/>
                <w:bCs/>
              </w:rPr>
            </w:pPr>
            <w:r>
              <w:rPr>
                <w:b/>
                <w:color w:val="000000"/>
              </w:rPr>
              <w:t xml:space="preserve">Cam 1 Math o gynefin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E0345" w14:textId="77777777" w:rsidR="005A5ED0" w:rsidRDefault="005A5ED0">
            <w:pPr>
              <w:pStyle w:val="Bodytextstyle"/>
              <w:spacing w:after="0"/>
              <w:jc w:val="both"/>
              <w:rPr>
                <w:b/>
                <w:bCs/>
                <w:sz w:val="22"/>
                <w:szCs w:val="22"/>
                <w:rFonts w:ascii="Calibri" w:hAnsi="Calibri" w:cs="Calibri"/>
              </w:rPr>
            </w:pPr>
            <w:r>
              <w:rPr>
                <w:b/>
                <w:color w:val="000000"/>
                <w:sz w:val="22"/>
                <w:rFonts w:ascii="Calibri" w:hAnsi="Calibri"/>
              </w:rPr>
              <w:t xml:space="preserve">Compownd A – Butetown (m</w:t>
            </w:r>
            <w:r>
              <w:rPr>
                <w:b/>
                <w:color w:val="000000"/>
                <w:sz w:val="22"/>
                <w:vertAlign w:val="superscript"/>
                <w:rFonts w:ascii="Calibri" w:hAnsi="Calibri"/>
              </w:rPr>
              <w:t xml:space="preserve">2</w:t>
            </w:r>
            <w:r>
              <w:rPr>
                <w:b/>
                <w:color w:val="000000"/>
                <w:sz w:val="22"/>
                <w:rFonts w:ascii="Calibri" w:hAnsi="Calibri"/>
              </w:rPr>
              <w:t xml:space="preserve">)</w:t>
            </w: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012DB" w14:textId="77777777" w:rsidR="005A5ED0" w:rsidRDefault="005A5ED0">
            <w:pPr>
              <w:pStyle w:val="Bodytextstyle"/>
              <w:spacing w:after="0"/>
              <w:jc w:val="both"/>
              <w:rPr>
                <w:b/>
                <w:bCs/>
                <w:sz w:val="22"/>
                <w:szCs w:val="22"/>
                <w:rFonts w:ascii="Calibri" w:hAnsi="Calibri" w:cs="Calibri"/>
              </w:rPr>
            </w:pPr>
            <w:r>
              <w:rPr>
                <w:b/>
                <w:color w:val="000000"/>
                <w:sz w:val="22"/>
                <w:rFonts w:ascii="Calibri" w:hAnsi="Calibri"/>
              </w:rPr>
              <w:t xml:space="preserve">Compownd B – Gwaith</w:t>
            </w:r>
            <w:r>
              <w:rPr>
                <w:b/>
                <w:color w:val="000000"/>
                <w:sz w:val="22"/>
                <w:rFonts w:ascii="Calibri" w:hAnsi="Calibri"/>
              </w:rPr>
              <w:t xml:space="preserve"> </w:t>
            </w:r>
            <w:r>
              <w:rPr>
                <w:b/>
                <w:color w:val="000000"/>
                <w:sz w:val="22"/>
                <w:rFonts w:ascii="Calibri" w:hAnsi="Calibri"/>
              </w:rPr>
              <w:t xml:space="preserve">Dros Dro (m</w:t>
            </w:r>
            <w:r>
              <w:rPr>
                <w:b/>
                <w:color w:val="000000"/>
                <w:sz w:val="22"/>
                <w:vertAlign w:val="superscript"/>
                <w:rFonts w:ascii="Calibri" w:hAnsi="Calibri"/>
              </w:rPr>
              <w:t xml:space="preserve">2</w:t>
            </w:r>
            <w:r>
              <w:rPr>
                <w:b/>
                <w:color w:val="000000"/>
                <w:sz w:val="22"/>
                <w:rFonts w:ascii="Calibri" w:hAnsi="Calibri"/>
              </w:rPr>
              <w:t xml:space="preserve">)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03C85" w14:textId="77777777" w:rsidR="005A5ED0" w:rsidRDefault="005A5ED0">
            <w:pPr>
              <w:pStyle w:val="Bodytextstyle"/>
              <w:spacing w:after="0"/>
              <w:jc w:val="both"/>
              <w:rPr>
                <w:b/>
                <w:bCs/>
                <w:sz w:val="22"/>
                <w:szCs w:val="22"/>
                <w:rFonts w:ascii="Calibri" w:hAnsi="Calibri" w:cs="Calibri"/>
              </w:rPr>
            </w:pPr>
            <w:r>
              <w:rPr>
                <w:b/>
                <w:color w:val="000000"/>
                <w:sz w:val="22"/>
                <w:rFonts w:ascii="Calibri" w:hAnsi="Calibri"/>
              </w:rPr>
              <w:t xml:space="preserve">Compownd C – Bae Caerdydd (m</w:t>
            </w:r>
            <w:r>
              <w:rPr>
                <w:b/>
                <w:color w:val="000000"/>
                <w:sz w:val="22"/>
                <w:vertAlign w:val="superscript"/>
                <w:rFonts w:ascii="Calibri" w:hAnsi="Calibri"/>
              </w:rPr>
              <w:t xml:space="preserve">2</w:t>
            </w:r>
            <w:r>
              <w:rPr>
                <w:b/>
                <w:color w:val="000000"/>
                <w:sz w:val="22"/>
                <w:rFonts w:ascii="Calibri" w:hAnsi="Calibri"/>
              </w:rPr>
              <w:t xml:space="preserve">)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E8672" w14:textId="77777777" w:rsidR="005A5ED0" w:rsidRDefault="005A5ED0">
            <w:pPr>
              <w:pStyle w:val="Bodytextstyle"/>
              <w:spacing w:after="0"/>
              <w:jc w:val="both"/>
              <w:rPr>
                <w:b/>
                <w:bCs/>
                <w:sz w:val="22"/>
                <w:szCs w:val="22"/>
                <w:rFonts w:ascii="Calibri" w:hAnsi="Calibri" w:cs="Calibri"/>
              </w:rPr>
            </w:pPr>
            <w:r>
              <w:rPr>
                <w:b/>
                <w:color w:val="000000"/>
                <w:sz w:val="22"/>
                <w:rFonts w:ascii="Calibri" w:hAnsi="Calibri"/>
              </w:rPr>
              <w:t xml:space="preserve">Cyfanswm (m</w:t>
            </w:r>
            <w:r>
              <w:rPr>
                <w:b/>
                <w:color w:val="000000"/>
                <w:sz w:val="22"/>
                <w:vertAlign w:val="superscript"/>
                <w:rFonts w:ascii="Calibri" w:hAnsi="Calibri"/>
              </w:rPr>
              <w:t xml:space="preserve">2</w:t>
            </w:r>
            <w:r>
              <w:rPr>
                <w:b/>
                <w:color w:val="000000"/>
                <w:sz w:val="22"/>
                <w:rFonts w:ascii="Calibri" w:hAnsi="Calibri"/>
              </w:rPr>
              <w:t xml:space="preserve">)</w:t>
            </w:r>
          </w:p>
        </w:tc>
      </w:tr>
      <w:tr w:rsidR="005A5ED0" w14:paraId="2EE76C94" w14:textId="77777777" w:rsidTr="005A5ED0"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DAB64B" w14:textId="77777777" w:rsidR="005A5ED0" w:rsidRDefault="005A5ED0">
            <w:pPr>
              <w:pStyle w:val="Bodytextstyle"/>
              <w:spacing w:after="0"/>
              <w:jc w:val="both"/>
            </w:pPr>
            <w:r>
              <w:rPr>
                <w:color w:val="000000"/>
                <w:sz w:val="22"/>
                <w:rFonts w:ascii="Calibri" w:hAnsi="Calibri"/>
              </w:rPr>
              <w:t xml:space="preserve">J1.4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900B47" w14:textId="77777777" w:rsidR="005A5ED0" w:rsidRDefault="005A5ED0">
            <w:pPr>
              <w:pStyle w:val="Bodytextstyle"/>
              <w:spacing w:after="0"/>
              <w:jc w:val="both"/>
            </w:pPr>
            <w:r>
              <w:rPr>
                <w:color w:val="000000"/>
                <w:sz w:val="22"/>
                <w:rFonts w:ascii="Calibri" w:hAnsi="Calibri"/>
              </w:rPr>
              <w:t xml:space="preserve">Llwyni a Gyflwynwyd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D66D3" w14:textId="77777777" w:rsidR="005A5ED0" w:rsidRDefault="005A5ED0">
            <w:pPr>
              <w:pStyle w:val="Bodytextstyle"/>
              <w:spacing w:after="0"/>
              <w:jc w:val="center"/>
              <w:rPr>
                <w:b/>
                <w:bCs/>
                <w:rFonts w:ascii="Calibri" w:hAnsi="Calibri" w:cs="Calibri"/>
              </w:rPr>
            </w:pPr>
            <w:r>
              <w:rPr>
                <w:b/>
                <w:color w:val="000000"/>
                <w:rFonts w:ascii="Calibri" w:hAnsi="Calibri"/>
              </w:rPr>
              <w:t xml:space="preserve">360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EAA29" w14:textId="77777777" w:rsidR="005A5ED0" w:rsidRDefault="005A5ED0">
            <w:pPr>
              <w:pStyle w:val="Bodytextstyle"/>
              <w:spacing w:after="0"/>
              <w:jc w:val="center"/>
              <w:rPr>
                <w:b/>
                <w:bCs/>
                <w:rFonts w:ascii="Calibri" w:hAnsi="Calibri" w:cs="Calibri"/>
              </w:rPr>
            </w:pPr>
            <w:r>
              <w:rPr>
                <w:b/>
                <w:color w:val="000000"/>
                <w:rFonts w:ascii="Calibri" w:hAnsi="Calibri"/>
              </w:rPr>
              <w:t xml:space="preserve">335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2A3E2" w14:textId="77777777" w:rsidR="005A5ED0" w:rsidRDefault="005A5ED0">
            <w:pPr>
              <w:pStyle w:val="Bodytextstyle"/>
              <w:spacing w:after="0"/>
              <w:jc w:val="center"/>
              <w:rPr>
                <w:b/>
                <w:bCs/>
                <w:rFonts w:ascii="Calibri" w:hAnsi="Calibri" w:cs="Calibri"/>
              </w:rPr>
            </w:pPr>
            <w:r>
              <w:rPr>
                <w:b/>
                <w:color w:val="000000"/>
                <w:rFonts w:ascii="Calibri" w:hAnsi="Calibri"/>
              </w:rPr>
              <w:t xml:space="preserve">375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60FC3" w14:textId="77777777" w:rsidR="005A5ED0" w:rsidRDefault="005A5ED0">
            <w:pPr>
              <w:pStyle w:val="Bodytextstyle"/>
              <w:spacing w:after="0"/>
              <w:jc w:val="center"/>
              <w:rPr>
                <w:b/>
                <w:bCs/>
                <w:rFonts w:ascii="Calibri" w:hAnsi="Calibri" w:cs="Calibri"/>
              </w:rPr>
            </w:pPr>
            <w:r>
              <w:rPr>
                <w:b/>
                <w:color w:val="000000"/>
                <w:rFonts w:ascii="Calibri" w:hAnsi="Calibri"/>
              </w:rPr>
              <w:t xml:space="preserve">1070</w:t>
            </w:r>
          </w:p>
        </w:tc>
      </w:tr>
      <w:tr w:rsidR="005A5ED0" w14:paraId="31398C75" w14:textId="77777777" w:rsidTr="005A5ED0"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3D4134" w14:textId="77777777" w:rsidR="005A5ED0" w:rsidRDefault="005A5ED0">
            <w:pPr>
              <w:pStyle w:val="Bodytextstyle"/>
              <w:spacing w:after="0"/>
              <w:jc w:val="both"/>
            </w:pPr>
            <w:r>
              <w:rPr>
                <w:color w:val="000000"/>
                <w:sz w:val="22"/>
                <w:rFonts w:ascii="Calibri" w:hAnsi="Calibri"/>
              </w:rPr>
              <w:t xml:space="preserve">A2.1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FB671E" w14:textId="77777777" w:rsidR="005A5ED0" w:rsidRDefault="005A5ED0">
            <w:pPr>
              <w:pStyle w:val="Bodytextstyle"/>
              <w:spacing w:after="0"/>
              <w:jc w:val="both"/>
            </w:pPr>
            <w:r>
              <w:rPr>
                <w:color w:val="000000"/>
                <w:sz w:val="22"/>
                <w:rFonts w:ascii="Calibri" w:hAnsi="Calibri"/>
              </w:rPr>
              <w:t xml:space="preserve">Prysgwydd - Dwys/Parhaus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FD439" w14:textId="77777777" w:rsidR="005A5ED0" w:rsidRDefault="005A5ED0">
            <w:pPr>
              <w:pStyle w:val="Bodytextstyle"/>
              <w:spacing w:after="0"/>
              <w:jc w:val="center"/>
              <w:rPr>
                <w:b/>
                <w:bCs/>
                <w:rFonts w:ascii="Calibri" w:hAnsi="Calibri" w:cs="Calibri"/>
              </w:rPr>
            </w:pPr>
            <w:r>
              <w:rPr>
                <w:b/>
                <w:color w:val="000000"/>
                <w:rFonts w:ascii="Calibri" w:hAnsi="Calibri"/>
              </w:rPr>
              <w:t xml:space="preserve">1618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D5EF5" w14:textId="77777777" w:rsidR="005A5ED0" w:rsidRDefault="005A5ED0">
            <w:pPr>
              <w:pStyle w:val="Bodytextstyle"/>
              <w:spacing w:after="0"/>
              <w:jc w:val="center"/>
              <w:rPr>
                <w:b/>
                <w:bCs/>
                <w:rFonts w:ascii="Calibri" w:hAnsi="Calibri" w:cs="Calibri"/>
              </w:rPr>
            </w:pPr>
            <w:r>
              <w:rPr>
                <w:b/>
                <w:color w:val="000000"/>
                <w:rFonts w:ascii="Calibri" w:hAnsi="Calibri"/>
              </w:rPr>
              <w:t xml:space="preserve">823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0A515" w14:textId="77777777" w:rsidR="005A5ED0" w:rsidRDefault="005A5ED0">
            <w:pPr>
              <w:pStyle w:val="Bodytextstyle"/>
              <w:spacing w:after="0"/>
              <w:jc w:val="center"/>
              <w:rPr>
                <w:b/>
                <w:bCs/>
                <w:rFonts w:ascii="Calibri" w:hAnsi="Calibri" w:cs="Calibri"/>
              </w:rPr>
            </w:pPr>
            <w:r>
              <w:rPr>
                <w:b/>
                <w:color w:val="000000"/>
                <w:rFonts w:ascii="Calibri" w:hAnsi="Calibri"/>
              </w:rPr>
              <w:t xml:space="preserve">143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A0CCA" w14:textId="77777777" w:rsidR="005A5ED0" w:rsidRDefault="005A5ED0">
            <w:pPr>
              <w:pStyle w:val="Bodytextstyle"/>
              <w:spacing w:after="0"/>
              <w:jc w:val="center"/>
              <w:rPr>
                <w:b/>
                <w:bCs/>
                <w:rFonts w:ascii="Calibri" w:hAnsi="Calibri" w:cs="Calibri"/>
              </w:rPr>
            </w:pPr>
            <w:r>
              <w:rPr>
                <w:b/>
                <w:color w:val="000000"/>
                <w:rFonts w:ascii="Calibri" w:hAnsi="Calibri"/>
              </w:rPr>
              <w:t xml:space="preserve">2584</w:t>
            </w:r>
          </w:p>
        </w:tc>
      </w:tr>
      <w:tr w:rsidR="005A5ED0" w14:paraId="4E433C78" w14:textId="77777777" w:rsidTr="005A5ED0"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CE2DA3" w14:textId="77777777" w:rsidR="005A5ED0" w:rsidRDefault="005A5ED0">
            <w:pPr>
              <w:pStyle w:val="Bodytextstyle"/>
              <w:spacing w:after="0"/>
              <w:jc w:val="both"/>
            </w:pPr>
            <w:r>
              <w:rPr>
                <w:color w:val="000000"/>
                <w:sz w:val="22"/>
                <w:rFonts w:ascii="Calibri" w:hAnsi="Calibri"/>
              </w:rPr>
              <w:t xml:space="preserve">J1.2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B9847C" w14:textId="77777777" w:rsidR="005A5ED0" w:rsidRDefault="005A5ED0">
            <w:pPr>
              <w:pStyle w:val="Bodytextstyle"/>
              <w:spacing w:after="0"/>
              <w:jc w:val="both"/>
            </w:pPr>
            <w:r>
              <w:rPr>
                <w:color w:val="000000"/>
                <w:sz w:val="22"/>
                <w:rFonts w:ascii="Calibri" w:hAnsi="Calibri"/>
              </w:rPr>
              <w:t xml:space="preserve">Tir wedi’i drin/aflonyddu - Glaswelltir Amwynder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C3A59" w14:textId="77777777" w:rsidR="005A5ED0" w:rsidRDefault="005A5ED0">
            <w:pPr>
              <w:pStyle w:val="Bodytextstyle"/>
              <w:spacing w:after="0"/>
              <w:jc w:val="center"/>
              <w:rPr>
                <w:b/>
                <w:bCs/>
                <w:rFonts w:ascii="Calibri" w:hAnsi="Calibri" w:cs="Calibri"/>
              </w:rPr>
            </w:pPr>
            <w:r>
              <w:rPr>
                <w:b/>
                <w:color w:val="000000"/>
                <w:rFonts w:ascii="Calibri" w:hAnsi="Calibri"/>
              </w:rPr>
              <w:t xml:space="preserve">740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7561A" w14:textId="77777777" w:rsidR="005A5ED0" w:rsidRDefault="005A5ED0">
            <w:pPr>
              <w:pStyle w:val="Bodytextstyle"/>
              <w:spacing w:after="0"/>
              <w:jc w:val="center"/>
              <w:rPr>
                <w:b/>
                <w:bCs/>
                <w:rFonts w:ascii="Calibri" w:hAnsi="Calibri" w:cs="Calibri"/>
              </w:rPr>
            </w:pPr>
            <w:r>
              <w:rPr>
                <w:b/>
                <w:color w:val="000000"/>
                <w:rFonts w:ascii="Calibri" w:hAnsi="Calibri"/>
              </w:rPr>
              <w:t xml:space="preserve">371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F0141" w14:textId="77777777" w:rsidR="005A5ED0" w:rsidRDefault="005A5ED0">
            <w:pPr>
              <w:pStyle w:val="Bodytextstyle"/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00457" w14:textId="77777777" w:rsidR="005A5ED0" w:rsidRDefault="005A5ED0">
            <w:pPr>
              <w:pStyle w:val="Bodytextstyle"/>
              <w:spacing w:after="0"/>
              <w:jc w:val="center"/>
              <w:rPr>
                <w:b/>
                <w:bCs/>
                <w:rFonts w:ascii="Calibri" w:hAnsi="Calibri" w:cs="Calibri"/>
              </w:rPr>
            </w:pPr>
            <w:r>
              <w:rPr>
                <w:b/>
                <w:color w:val="000000"/>
                <w:rFonts w:ascii="Calibri" w:hAnsi="Calibri"/>
              </w:rPr>
              <w:t xml:space="preserve">1111</w:t>
            </w:r>
          </w:p>
        </w:tc>
      </w:tr>
      <w:tr w:rsidR="005A5ED0" w14:paraId="7A675B70" w14:textId="77777777" w:rsidTr="005A5ED0"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73B0A6" w14:textId="77777777" w:rsidR="005A5ED0" w:rsidRDefault="005A5ED0">
            <w:pPr>
              <w:pStyle w:val="Bodytextstyle"/>
              <w:spacing w:after="0"/>
              <w:jc w:val="both"/>
            </w:pPr>
            <w:r>
              <w:rPr>
                <w:color w:val="000000"/>
                <w:sz w:val="22"/>
                <w:rFonts w:ascii="Calibri" w:hAnsi="Calibri"/>
              </w:rPr>
              <w:t xml:space="preserve">J3.6 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4C76BE" w14:textId="77777777" w:rsidR="005A5ED0" w:rsidRDefault="005A5ED0">
            <w:pPr>
              <w:pStyle w:val="Bodytextstyle"/>
              <w:spacing w:after="0"/>
              <w:jc w:val="both"/>
            </w:pPr>
            <w:r>
              <w:rPr>
                <w:color w:val="000000"/>
                <w:sz w:val="22"/>
                <w:rFonts w:ascii="Calibri" w:hAnsi="Calibri"/>
              </w:rPr>
              <w:t xml:space="preserve">Llawr caled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437D5" w14:textId="77777777" w:rsidR="005A5ED0" w:rsidRDefault="005A5ED0">
            <w:pPr>
              <w:pStyle w:val="Bodytextstyle"/>
              <w:spacing w:after="0"/>
              <w:jc w:val="center"/>
              <w:rPr>
                <w:b/>
                <w:bCs/>
                <w:rFonts w:ascii="Calibri" w:hAnsi="Calibri" w:cs="Calibri"/>
              </w:rPr>
            </w:pPr>
            <w:r>
              <w:rPr>
                <w:b/>
                <w:color w:val="000000"/>
                <w:rFonts w:ascii="Calibri" w:hAnsi="Calibri"/>
              </w:rPr>
              <w:t xml:space="preserve">2610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EB3EF" w14:textId="77777777" w:rsidR="005A5ED0" w:rsidRDefault="005A5ED0">
            <w:pPr>
              <w:pStyle w:val="Bodytextstyle"/>
              <w:spacing w:after="0"/>
              <w:jc w:val="center"/>
              <w:rPr>
                <w:b/>
                <w:bCs/>
                <w:rFonts w:ascii="Calibri" w:hAnsi="Calibri" w:cs="Calibri"/>
              </w:rPr>
            </w:pPr>
            <w:r>
              <w:rPr>
                <w:b/>
                <w:color w:val="000000"/>
                <w:rFonts w:ascii="Calibri" w:hAnsi="Calibri"/>
              </w:rPr>
              <w:t xml:space="preserve"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98B39" w14:textId="77777777" w:rsidR="005A5ED0" w:rsidRDefault="005A5ED0">
            <w:pPr>
              <w:pStyle w:val="Bodytextstyle"/>
              <w:spacing w:after="0"/>
              <w:jc w:val="center"/>
              <w:rPr>
                <w:b/>
                <w:bCs/>
                <w:rFonts w:ascii="Calibri" w:hAnsi="Calibri" w:cs="Calibri"/>
              </w:rPr>
            </w:pPr>
            <w:r>
              <w:rPr>
                <w:b/>
                <w:color w:val="000000"/>
                <w:rFonts w:ascii="Calibri" w:hAnsi="Calibri"/>
              </w:rPr>
              <w:t xml:space="preserve">457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EFAC6" w14:textId="77777777" w:rsidR="005A5ED0" w:rsidRDefault="005A5ED0">
            <w:pPr>
              <w:pStyle w:val="Bodytextstyle"/>
              <w:spacing w:after="0"/>
              <w:jc w:val="center"/>
              <w:rPr>
                <w:b/>
                <w:bCs/>
                <w:rFonts w:ascii="Calibri" w:hAnsi="Calibri" w:cs="Calibri"/>
              </w:rPr>
            </w:pPr>
            <w:r>
              <w:rPr>
                <w:b/>
                <w:color w:val="000000"/>
                <w:rFonts w:ascii="Calibri" w:hAnsi="Calibri"/>
              </w:rPr>
              <w:t xml:space="preserve">3058</w:t>
            </w:r>
          </w:p>
        </w:tc>
      </w:tr>
      <w:tr w:rsidR="005A5ED0" w14:paraId="5E6687B4" w14:textId="77777777" w:rsidTr="005A5ED0"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2BCBE6" w14:textId="77777777" w:rsidR="005A5ED0" w:rsidRDefault="005A5ED0">
            <w:pPr>
              <w:pStyle w:val="Bodytextstyle"/>
              <w:spacing w:after="0"/>
              <w:jc w:val="both"/>
              <w:rPr>
                <w:color w:val="000000"/>
                <w:sz w:val="22"/>
                <w:szCs w:val="22"/>
                <w:rFonts w:ascii="Calibri" w:hAnsi="Calibri" w:cs="Calibri"/>
              </w:rPr>
            </w:pPr>
            <w:r>
              <w:rPr>
                <w:color w:val="000000"/>
                <w:sz w:val="22"/>
                <w:rFonts w:ascii="Calibri" w:hAnsi="Calibri"/>
              </w:rPr>
              <w:t xml:space="preserve">A2.2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3A2C45" w14:textId="77777777" w:rsidR="005A5ED0" w:rsidRDefault="005A5ED0">
            <w:pPr>
              <w:pStyle w:val="Bodytextstyle"/>
              <w:spacing w:after="0"/>
              <w:jc w:val="both"/>
              <w:rPr>
                <w:color w:val="000000"/>
                <w:sz w:val="22"/>
                <w:szCs w:val="22"/>
                <w:rFonts w:ascii="Calibri" w:hAnsi="Calibri" w:cs="Calibri"/>
              </w:rPr>
            </w:pPr>
            <w:r>
              <w:rPr>
                <w:color w:val="000000"/>
                <w:sz w:val="22"/>
                <w:rFonts w:ascii="Calibri" w:hAnsi="Calibri"/>
              </w:rPr>
              <w:t xml:space="preserve">Prysgwydd - Gwasgarog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11441" w14:textId="77777777" w:rsidR="005A5ED0" w:rsidRDefault="005A5ED0">
            <w:pPr>
              <w:pStyle w:val="Bodytextstyle"/>
              <w:spacing w:after="0"/>
              <w:jc w:val="center"/>
              <w:rPr>
                <w:b/>
                <w:bCs/>
                <w:rFonts w:ascii="Calibri" w:hAnsi="Calibri" w:cs="Calibri"/>
              </w:rPr>
            </w:pPr>
            <w:r>
              <w:rPr>
                <w:b/>
                <w:color w:val="000000"/>
                <w:rFonts w:ascii="Calibri" w:hAnsi="Calibri"/>
              </w:rPr>
              <w:t xml:space="preserve">948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2DC81" w14:textId="77777777" w:rsidR="005A5ED0" w:rsidRDefault="005A5ED0">
            <w:pPr>
              <w:pStyle w:val="Bodytextstyle"/>
              <w:spacing w:after="0"/>
              <w:jc w:val="center"/>
              <w:rPr>
                <w:b/>
                <w:bCs/>
                <w:rFonts w:ascii="Calibri" w:hAnsi="Calibri" w:cs="Calibri"/>
              </w:rPr>
            </w:pPr>
            <w:r>
              <w:rPr>
                <w:b/>
                <w:color w:val="000000"/>
                <w:rFonts w:ascii="Calibri" w:hAnsi="Calibri"/>
              </w:rPr>
              <w:t xml:space="preserve">354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20101" w14:textId="77777777" w:rsidR="005A5ED0" w:rsidRDefault="005A5ED0">
            <w:pPr>
              <w:pStyle w:val="Bodytextstyle"/>
              <w:spacing w:after="0"/>
              <w:jc w:val="center"/>
              <w:rPr>
                <w:b/>
                <w:bCs/>
                <w:rFonts w:ascii="Calibri" w:hAnsi="Calibri" w:cs="Calibri"/>
              </w:rPr>
            </w:pPr>
            <w:r>
              <w:rPr>
                <w:b/>
                <w:color w:val="000000"/>
                <w:rFonts w:ascii="Calibri" w:hAnsi="Calibri"/>
              </w:rPr>
              <w:t xml:space="preserve">2792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D496C" w14:textId="77777777" w:rsidR="005A5ED0" w:rsidRDefault="005A5ED0">
            <w:pPr>
              <w:pStyle w:val="Bodytextstyle"/>
              <w:spacing w:after="0"/>
              <w:jc w:val="center"/>
              <w:rPr>
                <w:b/>
                <w:bCs/>
                <w:rFonts w:ascii="Calibri" w:hAnsi="Calibri" w:cs="Calibri"/>
              </w:rPr>
            </w:pPr>
            <w:r>
              <w:rPr>
                <w:b/>
                <w:color w:val="000000"/>
                <w:rFonts w:ascii="Calibri" w:hAnsi="Calibri"/>
              </w:rPr>
              <w:t xml:space="preserve">4094</w:t>
            </w:r>
          </w:p>
        </w:tc>
      </w:tr>
      <w:tr w:rsidR="005A5ED0" w14:paraId="69C997C7" w14:textId="77777777" w:rsidTr="005A5ED0"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70EB92" w14:textId="77777777" w:rsidR="005A5ED0" w:rsidRDefault="005A5ED0">
            <w:pPr>
              <w:pStyle w:val="Bodytextstyle"/>
              <w:spacing w:after="0"/>
              <w:jc w:val="both"/>
              <w:rPr>
                <w:color w:val="000000"/>
                <w:sz w:val="22"/>
                <w:szCs w:val="22"/>
                <w:rFonts w:ascii="Calibri" w:hAnsi="Calibri" w:cs="Calibri"/>
              </w:rPr>
            </w:pPr>
            <w:r>
              <w:rPr>
                <w:color w:val="000000"/>
                <w:sz w:val="22"/>
                <w:rFonts w:ascii="Calibri" w:hAnsi="Calibri"/>
              </w:rPr>
              <w:t xml:space="preserve">J1.3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09F815" w14:textId="77777777" w:rsidR="005A5ED0" w:rsidRDefault="005A5ED0">
            <w:pPr>
              <w:pStyle w:val="Bodytextstyle"/>
              <w:spacing w:after="0"/>
              <w:jc w:val="both"/>
              <w:rPr>
                <w:color w:val="000000"/>
                <w:sz w:val="22"/>
                <w:szCs w:val="22"/>
                <w:rFonts w:ascii="Calibri" w:hAnsi="Calibri" w:cs="Calibri"/>
              </w:rPr>
            </w:pPr>
            <w:r>
              <w:rPr>
                <w:color w:val="000000"/>
                <w:sz w:val="22"/>
                <w:rFonts w:ascii="Calibri" w:hAnsi="Calibri"/>
              </w:rPr>
              <w:t xml:space="preserve">Tir wedi’i drin/aflonyddu - Lluosflwydd Byr/Dros Dro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F38BD" w14:textId="77777777" w:rsidR="005A5ED0" w:rsidRDefault="005A5ED0">
            <w:pPr>
              <w:pStyle w:val="Bodytextstyle"/>
              <w:spacing w:after="0"/>
              <w:jc w:val="center"/>
              <w:rPr>
                <w:b/>
                <w:bCs/>
                <w:rFonts w:ascii="Calibri" w:hAnsi="Calibri" w:cs="Calibri"/>
              </w:rPr>
            </w:pPr>
            <w:r>
              <w:rPr>
                <w:b/>
                <w:color w:val="000000"/>
                <w:rFonts w:ascii="Calibri" w:hAnsi="Calibri"/>
              </w:rPr>
              <w:t xml:space="preserve">948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06EEB" w14:textId="77777777" w:rsidR="005A5ED0" w:rsidRDefault="005A5ED0">
            <w:pPr>
              <w:pStyle w:val="Bodytextstyle"/>
              <w:spacing w:after="0"/>
              <w:jc w:val="center"/>
              <w:rPr>
                <w:b/>
                <w:bCs/>
                <w:rFonts w:ascii="Calibri" w:hAnsi="Calibri" w:cs="Calibri"/>
              </w:rPr>
            </w:pPr>
            <w:r>
              <w:rPr>
                <w:b/>
                <w:color w:val="000000"/>
                <w:rFonts w:ascii="Calibri" w:hAnsi="Calibri"/>
              </w:rPr>
              <w:t xml:space="preserve">398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C196A" w14:textId="77777777" w:rsidR="005A5ED0" w:rsidRDefault="005A5ED0">
            <w:pPr>
              <w:pStyle w:val="Bodytextstyle"/>
              <w:spacing w:after="0"/>
              <w:jc w:val="center"/>
              <w:rPr>
                <w:b/>
                <w:bCs/>
                <w:rFonts w:ascii="Calibri" w:hAnsi="Calibri" w:cs="Calibri"/>
              </w:rPr>
            </w:pPr>
            <w:r>
              <w:rPr>
                <w:b/>
                <w:color w:val="000000"/>
                <w:rFonts w:ascii="Calibri" w:hAnsi="Calibri"/>
              </w:rPr>
              <w:t xml:space="preserve">3888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7F4DD" w14:textId="77777777" w:rsidR="005A5ED0" w:rsidRDefault="005A5ED0">
            <w:pPr>
              <w:pStyle w:val="Bodytextstyle"/>
              <w:spacing w:after="0"/>
              <w:jc w:val="center"/>
              <w:rPr>
                <w:b/>
                <w:bCs/>
                <w:rFonts w:ascii="Calibri" w:hAnsi="Calibri" w:cs="Calibri"/>
              </w:rPr>
            </w:pPr>
            <w:r>
              <w:rPr>
                <w:b/>
                <w:color w:val="000000"/>
                <w:rFonts w:ascii="Calibri" w:hAnsi="Calibri"/>
              </w:rPr>
              <w:t xml:space="preserve">5234</w:t>
            </w:r>
          </w:p>
        </w:tc>
      </w:tr>
      <w:tr w:rsidR="005A5ED0" w14:paraId="73BB85DB" w14:textId="77777777" w:rsidTr="005A5ED0"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090CB" w14:textId="77777777" w:rsidR="005A5ED0" w:rsidRDefault="005A5ED0">
            <w:pPr>
              <w:pStyle w:val="Bodytextstyle"/>
              <w:spacing w:after="0"/>
              <w:jc w:val="both"/>
              <w:rPr>
                <w:color w:val="000000"/>
                <w:sz w:val="22"/>
                <w:szCs w:val="22"/>
                <w:rFonts w:ascii="Calibri" w:hAnsi="Calibri" w:cs="Calibri"/>
              </w:rPr>
            </w:pPr>
            <w:r>
              <w:rPr>
                <w:color w:val="000000"/>
                <w:sz w:val="22"/>
                <w:rFonts w:ascii="Calibri" w:hAnsi="Calibri"/>
              </w:rPr>
              <w:t xml:space="preserve">B2.2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FC457" w14:textId="77777777" w:rsidR="005A5ED0" w:rsidRDefault="005A5ED0">
            <w:pPr>
              <w:pStyle w:val="Bodytextstyle"/>
              <w:spacing w:after="0"/>
              <w:jc w:val="both"/>
              <w:rPr>
                <w:color w:val="000000"/>
                <w:sz w:val="22"/>
                <w:szCs w:val="22"/>
                <w:rFonts w:ascii="Calibri" w:hAnsi="Calibri" w:cs="Calibri"/>
              </w:rPr>
            </w:pPr>
            <w:r>
              <w:rPr>
                <w:color w:val="000000"/>
                <w:sz w:val="22"/>
                <w:rFonts w:ascii="Calibri" w:hAnsi="Calibri"/>
              </w:rPr>
              <w:t xml:space="preserve">Glaswelltir Niwtral - Wedi'i led-wella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C1C8A" w14:textId="77777777" w:rsidR="005A5ED0" w:rsidRDefault="005A5ED0">
            <w:pPr>
              <w:pStyle w:val="Bodytextstyle"/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FB94B" w14:textId="77777777" w:rsidR="005A5ED0" w:rsidRDefault="005A5ED0">
            <w:pPr>
              <w:pStyle w:val="Bodytextstyle"/>
              <w:spacing w:after="0"/>
              <w:jc w:val="center"/>
              <w:rPr>
                <w:b/>
                <w:bCs/>
                <w:rFonts w:ascii="Calibri" w:hAnsi="Calibri" w:cs="Calibri"/>
              </w:rPr>
            </w:pPr>
            <w:r>
              <w:rPr>
                <w:b/>
                <w:color w:val="000000"/>
                <w:rFonts w:ascii="Calibri" w:hAnsi="Calibri"/>
              </w:rPr>
              <w:t xml:space="preserve">813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43FF3" w14:textId="77777777" w:rsidR="005A5ED0" w:rsidRDefault="005A5ED0">
            <w:pPr>
              <w:pStyle w:val="Bodytextstyle"/>
              <w:spacing w:after="0"/>
              <w:jc w:val="center"/>
              <w:rPr>
                <w:b/>
                <w:bCs/>
                <w:rFonts w:ascii="Calibri" w:hAnsi="Calibri" w:cs="Calibri"/>
              </w:rPr>
            </w:pPr>
            <w:r>
              <w:rPr>
                <w:b/>
                <w:color w:val="000000"/>
                <w:rFonts w:ascii="Calibri" w:hAnsi="Calibri"/>
              </w:rPr>
              <w:t xml:space="preserve">2584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60E9E" w14:textId="77777777" w:rsidR="005A5ED0" w:rsidRDefault="005A5ED0">
            <w:pPr>
              <w:pStyle w:val="Bodytextstyle"/>
              <w:spacing w:after="0"/>
              <w:jc w:val="center"/>
              <w:rPr>
                <w:b/>
                <w:bCs/>
                <w:rFonts w:ascii="Calibri" w:hAnsi="Calibri" w:cs="Calibri"/>
              </w:rPr>
            </w:pPr>
            <w:r>
              <w:rPr>
                <w:b/>
                <w:color w:val="000000"/>
                <w:rFonts w:ascii="Calibri" w:hAnsi="Calibri"/>
              </w:rPr>
              <w:t xml:space="preserve">3397</w:t>
            </w:r>
          </w:p>
        </w:tc>
      </w:tr>
      <w:tr w:rsidR="005A5ED0" w14:paraId="3DAC8395" w14:textId="77777777" w:rsidTr="005A5ED0"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B272E" w14:textId="77777777" w:rsidR="005A5ED0" w:rsidRDefault="005A5ED0">
            <w:pPr>
              <w:pStyle w:val="Bodytextstyle"/>
              <w:spacing w:after="0"/>
              <w:jc w:val="both"/>
              <w:rPr>
                <w:color w:val="000000"/>
                <w:sz w:val="22"/>
                <w:szCs w:val="22"/>
                <w:rFonts w:ascii="Calibri" w:hAnsi="Calibri" w:cs="Calibri"/>
              </w:rPr>
            </w:pPr>
            <w:r>
              <w:rPr>
                <w:color w:val="000000"/>
                <w:sz w:val="22"/>
                <w:rFonts w:ascii="Calibri" w:hAnsi="Calibri"/>
              </w:rPr>
              <w:t xml:space="preserve">C3.1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AFD08" w14:textId="77777777" w:rsidR="005A5ED0" w:rsidRDefault="005A5ED0">
            <w:pPr>
              <w:pStyle w:val="Bodytextstyle"/>
              <w:spacing w:after="0"/>
              <w:jc w:val="both"/>
              <w:rPr>
                <w:color w:val="000000"/>
                <w:sz w:val="22"/>
                <w:szCs w:val="22"/>
                <w:rFonts w:ascii="Calibri" w:hAnsi="Calibri" w:cs="Calibri"/>
              </w:rPr>
            </w:pPr>
            <w:r>
              <w:rPr>
                <w:color w:val="000000"/>
                <w:sz w:val="22"/>
                <w:rFonts w:ascii="Calibri" w:hAnsi="Calibri"/>
              </w:rPr>
              <w:t xml:space="preserve">Perlysiau a Rhedyn Tal Eraill - Cynefinol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9F659" w14:textId="77777777" w:rsidR="005A5ED0" w:rsidRDefault="005A5ED0">
            <w:pPr>
              <w:pStyle w:val="Bodytextstyle"/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C7106" w14:textId="77777777" w:rsidR="005A5ED0" w:rsidRDefault="005A5ED0">
            <w:pPr>
              <w:pStyle w:val="Bodytextstyle"/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8D1F6" w14:textId="77777777" w:rsidR="005A5ED0" w:rsidRDefault="005A5ED0">
            <w:pPr>
              <w:pStyle w:val="Bodytextstyle"/>
              <w:spacing w:after="0"/>
              <w:jc w:val="center"/>
              <w:rPr>
                <w:b/>
                <w:bCs/>
                <w:rFonts w:ascii="Calibri" w:hAnsi="Calibri" w:cs="Calibri"/>
              </w:rPr>
            </w:pPr>
            <w:r>
              <w:rPr>
                <w:b/>
                <w:color w:val="000000"/>
                <w:rFonts w:ascii="Calibri" w:hAnsi="Calibri"/>
              </w:rPr>
              <w:t xml:space="preserve">1096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BC1F4" w14:textId="77777777" w:rsidR="005A5ED0" w:rsidRDefault="005A5ED0">
            <w:pPr>
              <w:pStyle w:val="Bodytextstyle"/>
              <w:spacing w:after="0"/>
              <w:jc w:val="center"/>
              <w:rPr>
                <w:b/>
                <w:bCs/>
                <w:rFonts w:ascii="Calibri" w:hAnsi="Calibri" w:cs="Calibri"/>
              </w:rPr>
            </w:pPr>
            <w:r>
              <w:rPr>
                <w:b/>
                <w:color w:val="000000"/>
                <w:rFonts w:ascii="Calibri" w:hAnsi="Calibri"/>
              </w:rPr>
              <w:t xml:space="preserve">1096</w:t>
            </w:r>
          </w:p>
        </w:tc>
      </w:tr>
      <w:tr w:rsidR="005A5ED0" w14:paraId="58371F7E" w14:textId="77777777" w:rsidTr="005A5ED0"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0D215" w14:textId="77777777" w:rsidR="005A5ED0" w:rsidRDefault="005A5ED0">
            <w:pPr>
              <w:pStyle w:val="Bodytextstyle"/>
              <w:spacing w:after="0"/>
              <w:jc w:val="both"/>
              <w:rPr>
                <w:color w:val="000000"/>
                <w:sz w:val="22"/>
                <w:szCs w:val="22"/>
                <w:rFonts w:ascii="Calibri" w:hAnsi="Calibri" w:cs="Calibri"/>
              </w:rPr>
            </w:pPr>
            <w:r>
              <w:rPr>
                <w:color w:val="000000"/>
                <w:sz w:val="22"/>
                <w:rFonts w:ascii="Calibri" w:hAnsi="Calibri"/>
              </w:rPr>
              <w:t xml:space="preserve">J3.6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83922" w14:textId="77777777" w:rsidR="005A5ED0" w:rsidRDefault="005A5ED0">
            <w:pPr>
              <w:pStyle w:val="Bodytextstyle"/>
              <w:spacing w:after="0"/>
              <w:jc w:val="both"/>
              <w:rPr>
                <w:color w:val="000000"/>
                <w:sz w:val="22"/>
                <w:szCs w:val="22"/>
                <w:rFonts w:ascii="Calibri" w:hAnsi="Calibri" w:cs="Calibri"/>
              </w:rPr>
            </w:pPr>
            <w:r>
              <w:rPr>
                <w:color w:val="000000"/>
                <w:sz w:val="22"/>
                <w:rFonts w:ascii="Calibri" w:hAnsi="Calibri"/>
              </w:rPr>
              <w:t xml:space="preserve">Adeiladau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4AE76" w14:textId="77777777" w:rsidR="005A5ED0" w:rsidRDefault="005A5ED0">
            <w:pPr>
              <w:pStyle w:val="Bodytextstyle"/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5A7EE" w14:textId="77777777" w:rsidR="005A5ED0" w:rsidRDefault="005A5ED0">
            <w:pPr>
              <w:pStyle w:val="Bodytextstyle"/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81EBE" w14:textId="77777777" w:rsidR="005A5ED0" w:rsidRDefault="005A5ED0">
            <w:pPr>
              <w:pStyle w:val="Bodytextstyle"/>
              <w:spacing w:after="0"/>
              <w:jc w:val="center"/>
              <w:rPr>
                <w:b/>
                <w:bCs/>
                <w:rFonts w:ascii="Calibri" w:hAnsi="Calibri" w:cs="Calibri"/>
              </w:rPr>
            </w:pPr>
            <w:r>
              <w:rPr>
                <w:b/>
                <w:color w:val="000000"/>
                <w:rFonts w:ascii="Calibri" w:hAnsi="Calibri"/>
              </w:rPr>
              <w:t xml:space="preserve"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02B3A" w14:textId="77777777" w:rsidR="005A5ED0" w:rsidRDefault="005A5ED0">
            <w:pPr>
              <w:pStyle w:val="Bodytextstyle"/>
              <w:spacing w:after="0"/>
              <w:jc w:val="center"/>
              <w:rPr>
                <w:b/>
                <w:bCs/>
                <w:rFonts w:ascii="Calibri" w:hAnsi="Calibri" w:cs="Calibri"/>
              </w:rPr>
            </w:pPr>
            <w:r>
              <w:rPr>
                <w:b/>
                <w:color w:val="000000"/>
                <w:rFonts w:ascii="Calibri" w:hAnsi="Calibri"/>
              </w:rPr>
              <w:t xml:space="preserve">24</w:t>
            </w:r>
          </w:p>
        </w:tc>
      </w:tr>
    </w:tbl>
    <w:p w14:paraId="44B0FB03" w14:textId="31FB64D4" w:rsidR="005A5ED0" w:rsidRPr="0086598D" w:rsidRDefault="005A5ED0" w:rsidP="005A5ED0">
      <w:pPr>
        <w:pStyle w:val="Bodytextstyle"/>
        <w:jc w:val="both"/>
        <w:rPr>
          <w:sz w:val="22"/>
          <w:szCs w:val="22"/>
          <w:rFonts w:asciiTheme="minorHAnsi" w:hAnsiTheme="minorHAnsi" w:cstheme="minorHAnsi"/>
        </w:rPr>
      </w:pPr>
      <w:r>
        <w:rPr>
          <w:sz w:val="22"/>
          <w:rFonts w:asciiTheme="minorHAnsi" w:hAnsiTheme="minorHAnsi"/>
        </w:rPr>
        <w:t xml:space="preserve">Cyfanswm ardaloedd categorïau cynefinoedd Cam 1 JNCC y bwriedir i bob ardal waith datblygu Adran Llwybr y Bae effeithio arnynt.</w:t>
      </w:r>
    </w:p>
    <w:p w14:paraId="10AC8501" w14:textId="77777777" w:rsidR="0086598D" w:rsidRDefault="005A5ED0" w:rsidP="005A5ED0">
      <w:pPr>
        <w:spacing w:before="100" w:beforeAutospacing="1" w:after="120"/>
        <w:rPr>
          <w:rFonts w:cstheme="minorHAnsi"/>
        </w:rPr>
      </w:pPr>
      <w:r>
        <w:rPr>
          <w:b/>
        </w:rPr>
        <w:t xml:space="preserve">-A yw Trafnidiaeth Cymru wedi ystyried unrhyw gynefinoedd anifeiliaid wrth gynllunio a chreu’r rheilffordd?</w:t>
      </w:r>
    </w:p>
    <w:p w14:paraId="478554A1" w14:textId="09049A9F" w:rsidR="005A5ED0" w:rsidRPr="0086598D" w:rsidRDefault="005A5ED0" w:rsidP="005A5ED0">
      <w:pPr>
        <w:spacing w:before="100" w:beforeAutospacing="1" w:after="120"/>
        <w:rPr>
          <w:rFonts w:cstheme="minorHAnsi"/>
        </w:rPr>
      </w:pPr>
      <w:r>
        <w:t xml:space="preserve">Cafodd y gwaith mapio cynefinoedd cychwynnol ar gyfer yr adran o’r llwybr ei wneud yn gyntaf gan Mott MacDonald yn 2017.</w:t>
      </w:r>
      <w:r>
        <w:t xml:space="preserve"> </w:t>
      </w:r>
      <w:r>
        <w:t xml:space="preserve">Ers hynny mae Asiant Rheoli TrC, Amey Infrastructure Wales wedi cerdded dros adran llwybr y bae i ddod o hyd i bresenoldeb/absenoldeb tebygol rhywogaethau a warchodir gan gynnwys ystlumod a moch daear.</w:t>
      </w:r>
      <w:r>
        <w:t xml:space="preserve"> </w:t>
      </w:r>
      <w:r>
        <w:t xml:space="preserve">Mae Amey hefyd wedi cynnal arolygon cynefinoedd Cam 1 mewn perthynas â Gorsaf Stryd Bute, Gorsaf Bae Caerdydd a chompownd Bae Caerdydd.</w:t>
      </w:r>
      <w:r>
        <w:t xml:space="preserve"> </w:t>
      </w:r>
      <w:r>
        <w:t xml:space="preserve">O’r herwydd, mae’r holl rywogaethau a warchodir a ddyfarnwyd ar gyfer arolwg pellach o’r safle wedi dychwelyd dim canfyddiadau wedi’u cadarnhau.</w:t>
      </w:r>
    </w:p>
    <w:p w14:paraId="610C89B7" w14:textId="77777777" w:rsidR="005A5ED0" w:rsidRDefault="005A5ED0" w:rsidP="005A5ED0">
      <w:pPr>
        <w:spacing w:before="100" w:beforeAutospacing="1" w:after="120"/>
      </w:pPr>
      <w:r>
        <w:t xml:space="preserve">Mae modd gwneud cais am yr adroddiadau ar gyfer pob arolwg blaenorol a wnaed ar reilffordd Bae Caerdydd drwy Reolaeth Dogfennau Llinellau Craidd y Cymoedd.</w:t>
      </w:r>
    </w:p>
    <w:p w14:paraId="390C1A88" w14:textId="77777777" w:rsidR="005A5ED0" w:rsidRDefault="005A5ED0" w:rsidP="005A5ED0">
      <w:pPr>
        <w:spacing w:before="100" w:beforeAutospacing="1" w:after="120"/>
      </w:pPr>
      <w:r>
        <w:t xml:space="preserve"> </w:t>
      </w:r>
      <w:r>
        <w:rPr>
          <w:b/>
        </w:rPr>
        <w:t xml:space="preserve">-A yw cynefinoedd anifeiliaid ac effaith amgylcheddol tynnu llystyfiant wedi cael eu hystyried yn y broses o greu rheilffordd Bae Caerdydd?</w:t>
      </w:r>
    </w:p>
    <w:p w14:paraId="2062A036" w14:textId="77777777" w:rsidR="005A5ED0" w:rsidRDefault="005A5ED0" w:rsidP="005A5ED0">
      <w:pPr>
        <w:spacing w:before="100" w:beforeAutospacing="1" w:after="120"/>
      </w:pPr>
      <w:r>
        <w:t xml:space="preserve"> </w:t>
      </w:r>
      <w:r>
        <w:t xml:space="preserve">Mae’r holl waith clirio mewn perthynas â Llinell Bae Caerdydd wedi cael ei wneud yn unol â’r datganiadau dull ar gyfer y llwybr cyfan a ddarparwyd i’r holl gontractwyr ar y prosiect.</w:t>
      </w:r>
      <w:r>
        <w:t xml:space="preserve"> </w:t>
      </w:r>
      <w:r>
        <w:t xml:space="preserve">Mae’r rhain yn cynnwys methodolegau i’w defnyddio ar gyfer clirio llystyfiant mewn perthynas ag adar bridio, ymlusgiaid a choed ystlumod isel eu potensial sy’n amlinellu amseriad y gwaith, dulliau clirio, defnyddio offer addas a goruchwylio’r gwaith gan ecolegydd sydd â’r cymwysterau priodol.</w:t>
      </w:r>
      <w:r>
        <w:t xml:space="preserve"> </w:t>
      </w:r>
      <w:r>
        <w:t xml:space="preserve">Mae’r datganiadau dull ar gyfer y llwybr cyfan ar gael ar gais drwy DMCVL.</w:t>
      </w:r>
    </w:p>
    <w:p w14:paraId="02A8F211" w14:textId="77777777" w:rsidR="005A5ED0" w:rsidRDefault="005A5ED0" w:rsidP="005A5ED0"/>
    <w:p w14:paraId="1082528E" w14:textId="6F8F25CE" w:rsidR="005A5ED0" w:rsidRPr="0086598D" w:rsidRDefault="005A5ED0" w:rsidP="005A5ED0">
      <w:pPr>
        <w:rPr>
          <w:rFonts w:cstheme="minorHAnsi"/>
        </w:rPr>
      </w:pPr>
      <w:r>
        <w:rPr>
          <w:b/>
          <w:color w:val="313131"/>
        </w:rPr>
        <w:t xml:space="preserve">-A fydd yn rhaid torri unrhyw lystyfiant arall cyn cwblhau’r rheilffordd?</w:t>
      </w:r>
    </w:p>
    <w:p w14:paraId="5DB39AE7" w14:textId="15D76272" w:rsidR="005A5ED0" w:rsidRDefault="005A5ED0" w:rsidP="005A5ED0">
      <w:r>
        <w:t xml:space="preserve">At ei gilydd, mae’r coed canlynol wedi cael eu nodi fel rhai sydd angen effaith i hwyluso’r gwaith o adeiladu rheilffordd well Bae Caerdydd, ac mae’r rhestr hon wedi bod yn destun trafodaethau Datblygu a Ganiateir gyda thîm cynllunio Cyngor Dinas Caerdydd:-</w:t>
      </w:r>
    </w:p>
    <w:tbl>
      <w:tblPr>
        <w:tblW w:w="96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2631"/>
        <w:gridCol w:w="977"/>
        <w:gridCol w:w="578"/>
        <w:gridCol w:w="579"/>
        <w:gridCol w:w="4010"/>
      </w:tblGrid>
      <w:tr w:rsidR="005A5ED0" w14:paraId="52531448" w14:textId="77777777" w:rsidTr="005A5ED0">
        <w:trPr>
          <w:trHeight w:val="1183"/>
          <w:tblHeader/>
        </w:trPr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A8508" w14:textId="77777777" w:rsidR="005A5ED0" w:rsidRDefault="005A5ED0">
            <w:pPr>
              <w:pStyle w:val="Tabletext"/>
              <w:spacing w:line="276" w:lineRule="auto"/>
              <w:rPr>
                <w:b/>
                <w:bCs/>
              </w:rPr>
            </w:pPr>
            <w:r>
              <w:rPr>
                <w:b/>
              </w:rPr>
              <w:t xml:space="preserve">Cyf.</w:t>
            </w:r>
          </w:p>
        </w:tc>
        <w:tc>
          <w:tcPr>
            <w:tcW w:w="2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E5A14" w14:textId="77777777" w:rsidR="005A5ED0" w:rsidRDefault="005A5ED0">
            <w:pPr>
              <w:pStyle w:val="Tabletext"/>
              <w:spacing w:line="276" w:lineRule="auto"/>
              <w:rPr>
                <w:b/>
                <w:bCs/>
              </w:rPr>
            </w:pPr>
            <w:r>
              <w:rPr>
                <w:b/>
              </w:rPr>
              <w:t xml:space="preserve">Cam gweithredu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26065" w14:textId="77777777" w:rsidR="005A5ED0" w:rsidRDefault="005A5ED0">
            <w:pPr>
              <w:pStyle w:val="Tabletext"/>
              <w:spacing w:line="276" w:lineRule="auto"/>
              <w:rPr>
                <w:b/>
                <w:bCs/>
              </w:rPr>
            </w:pPr>
            <w:r>
              <w:rPr>
                <w:b/>
              </w:rPr>
              <w:t xml:space="preserve">Nifer y coed yr effeithir arnynt</w:t>
            </w:r>
          </w:p>
        </w:tc>
        <w:tc>
          <w:tcPr>
            <w:tcW w:w="11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8E631" w14:textId="77777777" w:rsidR="005A5ED0" w:rsidRDefault="005A5ED0">
            <w:pPr>
              <w:pStyle w:val="Tabletext"/>
              <w:spacing w:line="276" w:lineRule="auto"/>
              <w:rPr>
                <w:b/>
                <w:bCs/>
                <w:lang w:eastAsia="en-GB"/>
              </w:rPr>
            </w:pPr>
          </w:p>
          <w:p w14:paraId="3193EE65" w14:textId="77777777" w:rsidR="005A5ED0" w:rsidRDefault="005A5ED0">
            <w:pPr>
              <w:pStyle w:val="Tabletext"/>
              <w:spacing w:line="276" w:lineRule="auto"/>
              <w:rPr>
                <w:b/>
                <w:bCs/>
              </w:rPr>
            </w:pPr>
            <w:r>
              <w:rPr>
                <w:b/>
              </w:rPr>
              <w:t xml:space="preserve">Categorïau’r coed</w:t>
            </w:r>
          </w:p>
        </w:tc>
        <w:tc>
          <w:tcPr>
            <w:tcW w:w="4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D77A1" w14:textId="77777777" w:rsidR="005A5ED0" w:rsidRDefault="005A5ED0">
            <w:pPr>
              <w:pStyle w:val="Tabletext"/>
              <w:spacing w:line="276" w:lineRule="auto"/>
              <w:rPr>
                <w:b/>
                <w:bCs/>
              </w:rPr>
            </w:pPr>
            <w:r>
              <w:rPr>
                <w:b/>
              </w:rPr>
              <w:t xml:space="preserve">Cyfiawnhad</w:t>
            </w:r>
          </w:p>
        </w:tc>
      </w:tr>
      <w:tr w:rsidR="005A5ED0" w14:paraId="0064E0E9" w14:textId="77777777" w:rsidTr="005A5ED0">
        <w:trPr>
          <w:trHeight w:val="598"/>
        </w:trPr>
        <w:tc>
          <w:tcPr>
            <w:tcW w:w="8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E0238" w14:textId="77777777" w:rsidR="005A5ED0" w:rsidRDefault="005A5ED0">
            <w:pPr>
              <w:pStyle w:val="Tabletext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T01-T11 gan gynnwys, G01, T29, T115-T119,</w:t>
            </w:r>
            <w:r>
              <w:rPr>
                <w:sz w:val="16"/>
              </w:rPr>
              <w:t xml:space="preserve"> </w:t>
            </w:r>
          </w:p>
          <w:p w14:paraId="5DE8060B" w14:textId="77777777" w:rsidR="005A5ED0" w:rsidRDefault="005A5ED0">
            <w:pPr>
              <w:pStyle w:val="Tabletext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T30-T32, T37-T40</w:t>
            </w:r>
          </w:p>
        </w:tc>
        <w:tc>
          <w:tcPr>
            <w:tcW w:w="26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CBCD3" w14:textId="77777777" w:rsidR="005A5ED0" w:rsidRDefault="005A5ED0">
            <w:pPr>
              <w:pStyle w:val="Tabletext"/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sz w:val="16"/>
              </w:rPr>
              <w:t xml:space="preserve">Cyn adeiladu: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Does dim angen gweithredu.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</w:r>
            <w:r>
              <w:rPr>
                <w:sz w:val="16"/>
              </w:rPr>
              <w:t xml:space="preserve">Yn ystod y cam adeiladu: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Diogelu coed gyda rhwystrau amddiffynnol – Lle mae’r RPAs mewn perygl.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</w:r>
            <w:r>
              <w:rPr>
                <w:sz w:val="16"/>
              </w:rPr>
              <w:t xml:space="preserve">Ar ôl adeiladu: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Does dim angen gweithredu.</w:t>
            </w:r>
          </w:p>
        </w:tc>
        <w:tc>
          <w:tcPr>
            <w:tcW w:w="97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4A28D" w14:textId="77777777" w:rsidR="005A5ED0" w:rsidRDefault="005A5ED0">
            <w:pPr>
              <w:pStyle w:val="Tabletext"/>
              <w:spacing w:line="276" w:lineRule="auto"/>
              <w:rPr>
                <w:b/>
                <w:bCs/>
                <w:color w:val="7B7B7B"/>
                <w:sz w:val="20"/>
                <w:szCs w:val="20"/>
              </w:rPr>
            </w:pPr>
          </w:p>
          <w:p w14:paraId="0A7CC209" w14:textId="77777777" w:rsidR="005A5ED0" w:rsidRDefault="005A5ED0">
            <w:pPr>
              <w:pStyle w:val="Tabletext"/>
              <w:spacing w:line="276" w:lineRule="auto"/>
              <w:rPr>
                <w:b/>
                <w:bCs/>
                <w:color w:val="7B7B7B"/>
                <w:sz w:val="20"/>
                <w:szCs w:val="20"/>
              </w:rPr>
            </w:pPr>
            <w:r>
              <w:rPr>
                <w:b/>
                <w:color w:val="7B7B7B"/>
                <w:sz w:val="20"/>
              </w:rPr>
              <w:t xml:space="preserve">24 +1G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C7955" w14:textId="77777777" w:rsidR="005A5ED0" w:rsidRDefault="005A5ED0">
            <w:pPr>
              <w:pStyle w:val="Tabletext"/>
              <w:spacing w:line="276" w:lineRule="auto"/>
              <w:rPr>
                <w:b/>
                <w:bCs/>
                <w:color w:val="7B7B7B"/>
                <w:sz w:val="20"/>
                <w:szCs w:val="20"/>
              </w:rPr>
            </w:pPr>
            <w:r>
              <w:rPr>
                <w:b/>
                <w:color w:val="7B7B7B"/>
                <w:sz w:val="20"/>
              </w:rPr>
              <w:t xml:space="preserve">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79636" w14:textId="77777777" w:rsidR="005A5ED0" w:rsidRDefault="005A5ED0">
            <w:pPr>
              <w:pStyle w:val="Tabletext"/>
              <w:spacing w:line="276" w:lineRule="auto"/>
              <w:rPr>
                <w:b/>
                <w:bCs/>
                <w:color w:val="7B7B7B"/>
                <w:sz w:val="20"/>
                <w:szCs w:val="20"/>
              </w:rPr>
            </w:pPr>
            <w:r>
              <w:rPr>
                <w:b/>
                <w:color w:val="7B7B7B"/>
                <w:sz w:val="20"/>
              </w:rPr>
              <w:t xml:space="preserve">A</w:t>
            </w:r>
          </w:p>
        </w:tc>
        <w:tc>
          <w:tcPr>
            <w:tcW w:w="40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A517D" w14:textId="77777777" w:rsidR="005A5ED0" w:rsidRDefault="005A5ED0">
            <w:pPr>
              <w:pStyle w:val="Tabletext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Cadw a diogelu coed.</w:t>
            </w:r>
            <w:r>
              <w:rPr>
                <w:sz w:val="16"/>
              </w:rPr>
              <w:t xml:space="preserve">  </w:t>
            </w:r>
            <w:r>
              <w:rPr>
                <w:sz w:val="16"/>
              </w:rPr>
              <w:t xml:space="preserve">Codi ffensys RPZ o amgylch coed sydd wrth ymyl yr ardal ddatblygu, fel sy’n cael ei ddangos yn y cynllun cyfyngiadau</w:t>
            </w:r>
          </w:p>
        </w:tc>
      </w:tr>
      <w:tr w:rsidR="005A5ED0" w14:paraId="6F9F1CAA" w14:textId="77777777" w:rsidTr="005A5ED0">
        <w:trPr>
          <w:trHeight w:val="59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14FC79" w14:textId="77777777" w:rsidR="005A5ED0" w:rsidRDefault="005A5ED0">
            <w:pPr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267FC7" w14:textId="77777777" w:rsidR="005A5ED0" w:rsidRDefault="005A5ED0">
            <w:pPr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00EB01" w14:textId="77777777" w:rsidR="005A5ED0" w:rsidRDefault="005A5ED0">
            <w:pPr>
              <w:rPr>
                <w:rFonts w:ascii="Tahoma" w:hAnsi="Tahoma" w:cs="Tahoma"/>
                <w:b/>
                <w:bCs/>
                <w:color w:val="7B7B7B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46CFC" w14:textId="77777777" w:rsidR="005A5ED0" w:rsidRDefault="005A5ED0">
            <w:pPr>
              <w:pStyle w:val="Tabletext"/>
              <w:spacing w:line="276" w:lineRule="auto"/>
              <w:rPr>
                <w:b/>
                <w:bCs/>
                <w:color w:val="7B7B7B"/>
                <w:sz w:val="20"/>
                <w:szCs w:val="20"/>
              </w:rPr>
            </w:pPr>
            <w:r>
              <w:rPr>
                <w:b/>
                <w:color w:val="7B7B7B"/>
                <w:sz w:val="20"/>
              </w:rPr>
              <w:t xml:space="preserve">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607C5" w14:textId="77777777" w:rsidR="005A5ED0" w:rsidRDefault="005A5ED0">
            <w:pPr>
              <w:pStyle w:val="Tabletext"/>
              <w:spacing w:line="276" w:lineRule="auto"/>
              <w:rPr>
                <w:b/>
                <w:bCs/>
                <w:color w:val="7B7B7B"/>
                <w:sz w:val="20"/>
                <w:szCs w:val="20"/>
              </w:rPr>
            </w:pPr>
            <w:r>
              <w:rPr>
                <w:b/>
                <w:color w:val="7B7B7B"/>
                <w:sz w:val="20"/>
              </w:rPr>
              <w:t xml:space="preserve">B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34CCBB" w14:textId="77777777" w:rsidR="005A5ED0" w:rsidRDefault="005A5ED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A5ED0" w14:paraId="2AFA7A8A" w14:textId="77777777" w:rsidTr="005A5ED0">
        <w:trPr>
          <w:trHeight w:val="59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1B93D4" w14:textId="77777777" w:rsidR="005A5ED0" w:rsidRDefault="005A5ED0">
            <w:pPr>
              <w:rPr>
                <w:rFonts w:ascii="Tahoma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02FF6A" w14:textId="77777777" w:rsidR="005A5ED0" w:rsidRDefault="005A5ED0">
            <w:pPr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0D3F5B" w14:textId="77777777" w:rsidR="005A5ED0" w:rsidRDefault="005A5ED0">
            <w:pPr>
              <w:rPr>
                <w:rFonts w:ascii="Tahoma" w:hAnsi="Tahoma" w:cs="Tahoma"/>
                <w:b/>
                <w:bCs/>
                <w:color w:val="7B7B7B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44239" w14:textId="77777777" w:rsidR="005A5ED0" w:rsidRDefault="005A5ED0">
            <w:pPr>
              <w:pStyle w:val="Tabletext"/>
              <w:spacing w:line="276" w:lineRule="auto"/>
              <w:rPr>
                <w:b/>
                <w:bCs/>
                <w:color w:val="7B7B7B"/>
                <w:sz w:val="20"/>
                <w:szCs w:val="20"/>
              </w:rPr>
            </w:pPr>
            <w:r>
              <w:rPr>
                <w:b/>
                <w:color w:val="7B7B7B"/>
                <w:sz w:val="20"/>
              </w:rPr>
              <w:t xml:space="preserve">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D7F72" w14:textId="77777777" w:rsidR="005A5ED0" w:rsidRDefault="005A5ED0">
            <w:pPr>
              <w:pStyle w:val="Tabletext"/>
              <w:spacing w:line="276" w:lineRule="auto"/>
              <w:rPr>
                <w:b/>
                <w:bCs/>
                <w:color w:val="7B7B7B"/>
                <w:sz w:val="20"/>
                <w:szCs w:val="20"/>
              </w:rPr>
            </w:pPr>
            <w:r>
              <w:rPr>
                <w:b/>
                <w:color w:val="7B7B7B"/>
                <w:sz w:val="20"/>
              </w:rPr>
              <w:t xml:space="preserve">C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FED9E8" w14:textId="77777777" w:rsidR="005A5ED0" w:rsidRDefault="005A5ED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A5ED0" w14:paraId="215E21AE" w14:textId="77777777" w:rsidTr="005A5ED0">
        <w:trPr>
          <w:trHeight w:val="1009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BD147" w14:textId="77777777" w:rsidR="005A5ED0" w:rsidRDefault="005A5ED0">
            <w:pPr>
              <w:pStyle w:val="Tabletext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T61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88622" w14:textId="77777777" w:rsidR="005A5ED0" w:rsidRDefault="005A5ED0">
            <w:pPr>
              <w:pStyle w:val="Tabletext"/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sz w:val="16"/>
              </w:rPr>
              <w:t xml:space="preserve">Cyn adeiladu:</w:t>
            </w:r>
            <w:r>
              <w:br/>
            </w:r>
            <w:r>
              <w:rPr>
                <w:sz w:val="16"/>
              </w:rPr>
              <w:t xml:space="preserve">cwympo a thynnu er mwyn hwyluso’r gwaith o adeiladu Cyntedd Cyhoeddus Gorsaf Bae Caerdydd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E8B0F" w14:textId="77777777" w:rsidR="005A5ED0" w:rsidRDefault="005A5ED0">
            <w:pPr>
              <w:pStyle w:val="Tabletext"/>
              <w:spacing w:line="276" w:lineRule="auto"/>
              <w:rPr>
                <w:b/>
                <w:bCs/>
                <w:color w:val="538135"/>
                <w:sz w:val="20"/>
                <w:szCs w:val="20"/>
              </w:rPr>
            </w:pPr>
          </w:p>
          <w:p w14:paraId="6D49ADF1" w14:textId="77777777" w:rsidR="005A5ED0" w:rsidRDefault="005A5ED0">
            <w:pPr>
              <w:pStyle w:val="Tabletext"/>
              <w:spacing w:line="276" w:lineRule="auto"/>
              <w:rPr>
                <w:b/>
                <w:bCs/>
                <w:color w:val="538135"/>
                <w:sz w:val="20"/>
                <w:szCs w:val="20"/>
              </w:rPr>
            </w:pPr>
            <w:r>
              <w:rPr>
                <w:b/>
                <w:color w:val="538135"/>
                <w:sz w:val="20"/>
              </w:rPr>
              <w:t xml:space="preserve"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2DB2E" w14:textId="77777777" w:rsidR="005A5ED0" w:rsidRDefault="005A5ED0">
            <w:pPr>
              <w:pStyle w:val="Tabletext"/>
              <w:spacing w:line="276" w:lineRule="auto"/>
              <w:rPr>
                <w:b/>
                <w:bCs/>
                <w:color w:val="538135"/>
                <w:sz w:val="20"/>
                <w:szCs w:val="20"/>
              </w:rPr>
            </w:pPr>
            <w:r>
              <w:rPr>
                <w:b/>
                <w:color w:val="538135"/>
                <w:sz w:val="20"/>
              </w:rPr>
              <w:t xml:space="preserve"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F4B75" w14:textId="77777777" w:rsidR="005A5ED0" w:rsidRDefault="005A5ED0">
            <w:pPr>
              <w:pStyle w:val="Tabletext"/>
              <w:spacing w:line="276" w:lineRule="auto"/>
              <w:rPr>
                <w:b/>
                <w:bCs/>
                <w:color w:val="538135"/>
                <w:sz w:val="20"/>
                <w:szCs w:val="20"/>
              </w:rPr>
            </w:pPr>
            <w:r>
              <w:rPr>
                <w:b/>
                <w:color w:val="538135"/>
                <w:sz w:val="20"/>
              </w:rPr>
              <w:t xml:space="preserve">A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E6F84" w14:textId="77777777" w:rsidR="005A5ED0" w:rsidRDefault="005A5ED0">
            <w:pPr>
              <w:pStyle w:val="Tabletext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Mae’r goeden hon yn dod o fewn ôl troed gwaith parhaol Cyntedd Cyhoeddus newydd Gorsaf Bae Caerdydd.</w:t>
            </w:r>
          </w:p>
          <w:p w14:paraId="7DC8F4A4" w14:textId="77777777" w:rsidR="005A5ED0" w:rsidRDefault="005A5ED0">
            <w:pPr>
              <w:pStyle w:val="Tabletext"/>
              <w:spacing w:line="276" w:lineRule="auto"/>
              <w:rPr>
                <w:sz w:val="16"/>
                <w:szCs w:val="16"/>
              </w:rPr>
            </w:pPr>
          </w:p>
        </w:tc>
      </w:tr>
      <w:tr w:rsidR="005A5ED0" w14:paraId="72D7CAD8" w14:textId="77777777" w:rsidTr="005A5ED0">
        <w:trPr>
          <w:trHeight w:val="368"/>
        </w:trPr>
        <w:tc>
          <w:tcPr>
            <w:tcW w:w="8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ECB7B" w14:textId="77777777" w:rsidR="005A5ED0" w:rsidRDefault="005A5ED0">
            <w:pPr>
              <w:pStyle w:val="Tabletext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T12-T28 gan gynnwys, T98, T101 gan gynnwys</w:t>
            </w:r>
          </w:p>
        </w:tc>
        <w:tc>
          <w:tcPr>
            <w:tcW w:w="26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0FB2A" w14:textId="77777777" w:rsidR="005A5ED0" w:rsidRDefault="005A5ED0">
            <w:pPr>
              <w:pStyle w:val="Tabletext"/>
              <w:spacing w:line="276" w:lineRule="auto"/>
              <w:jc w:val="center"/>
              <w:rPr>
                <w:i/>
                <w:iCs/>
                <w:color w:val="111111"/>
                <w:sz w:val="16"/>
                <w:szCs w:val="16"/>
                <w:shd w:val="clear" w:color="auto" w:fill="FFFFFF"/>
              </w:rPr>
            </w:pPr>
            <w:r>
              <w:rPr>
                <w:sz w:val="16"/>
              </w:rPr>
              <w:t xml:space="preserve">Cyn adeiladu: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 xml:space="preserve">cwympo a thynnu i hwyluso’r gwaith adeiladu – ôl troed Gorsaf Butetown</w:t>
            </w:r>
          </w:p>
        </w:tc>
        <w:tc>
          <w:tcPr>
            <w:tcW w:w="97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026B1" w14:textId="77777777" w:rsidR="005A5ED0" w:rsidRDefault="005A5ED0">
            <w:pPr>
              <w:pStyle w:val="Tabletext"/>
              <w:spacing w:line="276" w:lineRule="auto"/>
              <w:rPr>
                <w:b/>
                <w:bCs/>
                <w:color w:val="538135"/>
                <w:sz w:val="20"/>
                <w:szCs w:val="20"/>
              </w:rPr>
            </w:pPr>
          </w:p>
          <w:p w14:paraId="40592320" w14:textId="77777777" w:rsidR="005A5ED0" w:rsidRDefault="005A5ED0">
            <w:pPr>
              <w:pStyle w:val="Tabletext"/>
              <w:spacing w:line="276" w:lineRule="auto"/>
              <w:rPr>
                <w:b/>
                <w:bCs/>
                <w:color w:val="538135"/>
                <w:sz w:val="20"/>
                <w:szCs w:val="20"/>
              </w:rPr>
            </w:pPr>
            <w:r>
              <w:rPr>
                <w:b/>
                <w:color w:val="538135"/>
                <w:sz w:val="20"/>
              </w:rPr>
              <w:t xml:space="preserve">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55FC3" w14:textId="77777777" w:rsidR="005A5ED0" w:rsidRDefault="005A5ED0">
            <w:pPr>
              <w:pStyle w:val="Tabletext"/>
              <w:spacing w:line="276" w:lineRule="auto"/>
              <w:rPr>
                <w:b/>
                <w:bCs/>
                <w:color w:val="538135"/>
                <w:sz w:val="20"/>
                <w:szCs w:val="20"/>
              </w:rPr>
            </w:pPr>
            <w:r>
              <w:rPr>
                <w:b/>
                <w:color w:val="538135"/>
                <w:sz w:val="20"/>
              </w:rPr>
              <w:t xml:space="preserve">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78D37" w14:textId="77777777" w:rsidR="005A5ED0" w:rsidRDefault="005A5ED0">
            <w:pPr>
              <w:pStyle w:val="Tabletext"/>
              <w:spacing w:line="276" w:lineRule="auto"/>
              <w:rPr>
                <w:b/>
                <w:bCs/>
                <w:color w:val="538135"/>
                <w:sz w:val="20"/>
                <w:szCs w:val="20"/>
              </w:rPr>
            </w:pPr>
            <w:r>
              <w:rPr>
                <w:b/>
                <w:color w:val="538135"/>
                <w:sz w:val="20"/>
              </w:rPr>
              <w:t xml:space="preserve">A</w:t>
            </w:r>
          </w:p>
        </w:tc>
        <w:tc>
          <w:tcPr>
            <w:tcW w:w="40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13480" w14:textId="77777777" w:rsidR="005A5ED0" w:rsidRDefault="005A5ED0">
            <w:pPr>
              <w:pStyle w:val="Tabletext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Mae’r coed hyn yn dod o fewn ôl troed gwaith parhaol Gorsaf newydd Butetown.</w:t>
            </w:r>
          </w:p>
        </w:tc>
      </w:tr>
      <w:tr w:rsidR="005A5ED0" w14:paraId="2EB66D27" w14:textId="77777777" w:rsidTr="005A5ED0">
        <w:trPr>
          <w:trHeight w:val="36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8DBC96" w14:textId="77777777" w:rsidR="005A5ED0" w:rsidRDefault="005A5ED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88AF51" w14:textId="77777777" w:rsidR="005A5ED0" w:rsidRDefault="005A5ED0">
            <w:pPr>
              <w:rPr>
                <w:rFonts w:ascii="Tahoma" w:hAnsi="Tahoma" w:cs="Tahoma"/>
                <w:i/>
                <w:iCs/>
                <w:color w:val="11111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BA94B1" w14:textId="77777777" w:rsidR="005A5ED0" w:rsidRDefault="005A5ED0">
            <w:pPr>
              <w:rPr>
                <w:rFonts w:ascii="Tahoma" w:hAnsi="Tahoma" w:cs="Tahoma"/>
                <w:b/>
                <w:bCs/>
                <w:color w:val="538135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6EABE" w14:textId="77777777" w:rsidR="005A5ED0" w:rsidRDefault="005A5ED0">
            <w:pPr>
              <w:pStyle w:val="Tabletext"/>
              <w:spacing w:line="276" w:lineRule="auto"/>
              <w:rPr>
                <w:b/>
                <w:bCs/>
                <w:color w:val="538135"/>
                <w:sz w:val="20"/>
                <w:szCs w:val="20"/>
              </w:rPr>
            </w:pPr>
            <w:r>
              <w:rPr>
                <w:b/>
                <w:color w:val="538135"/>
                <w:sz w:val="20"/>
              </w:rPr>
              <w:t xml:space="preserve">13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86DD1" w14:textId="77777777" w:rsidR="005A5ED0" w:rsidRDefault="005A5ED0">
            <w:pPr>
              <w:pStyle w:val="Tabletext"/>
              <w:spacing w:line="276" w:lineRule="auto"/>
              <w:rPr>
                <w:b/>
                <w:bCs/>
                <w:color w:val="538135"/>
                <w:sz w:val="20"/>
                <w:szCs w:val="20"/>
              </w:rPr>
            </w:pPr>
            <w:r>
              <w:rPr>
                <w:b/>
                <w:color w:val="538135"/>
                <w:sz w:val="20"/>
              </w:rPr>
              <w:t xml:space="preserve">B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29BFF7" w14:textId="77777777" w:rsidR="005A5ED0" w:rsidRDefault="005A5ED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A5ED0" w14:paraId="0368F0F1" w14:textId="77777777" w:rsidTr="005A5ED0">
        <w:trPr>
          <w:trHeight w:val="36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8645EA" w14:textId="77777777" w:rsidR="005A5ED0" w:rsidRDefault="005A5ED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34E631" w14:textId="77777777" w:rsidR="005A5ED0" w:rsidRDefault="005A5ED0">
            <w:pPr>
              <w:rPr>
                <w:rFonts w:ascii="Tahoma" w:hAnsi="Tahoma" w:cs="Tahoma"/>
                <w:i/>
                <w:iCs/>
                <w:color w:val="11111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6FCAE1" w14:textId="77777777" w:rsidR="005A5ED0" w:rsidRDefault="005A5ED0">
            <w:pPr>
              <w:rPr>
                <w:rFonts w:ascii="Tahoma" w:hAnsi="Tahoma" w:cs="Tahoma"/>
                <w:b/>
                <w:bCs/>
                <w:color w:val="538135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6F4DB" w14:textId="77777777" w:rsidR="005A5ED0" w:rsidRDefault="005A5ED0">
            <w:pPr>
              <w:pStyle w:val="Tabletext"/>
              <w:spacing w:line="276" w:lineRule="auto"/>
              <w:rPr>
                <w:b/>
                <w:bCs/>
                <w:color w:val="538135"/>
                <w:sz w:val="20"/>
                <w:szCs w:val="20"/>
              </w:rPr>
            </w:pPr>
            <w:r>
              <w:rPr>
                <w:b/>
                <w:color w:val="538135"/>
                <w:sz w:val="20"/>
              </w:rPr>
              <w:t xml:space="preserve"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C243D" w14:textId="77777777" w:rsidR="005A5ED0" w:rsidRDefault="005A5ED0">
            <w:pPr>
              <w:pStyle w:val="Tabletext"/>
              <w:spacing w:line="276" w:lineRule="auto"/>
              <w:rPr>
                <w:b/>
                <w:bCs/>
                <w:color w:val="538135"/>
                <w:sz w:val="20"/>
                <w:szCs w:val="20"/>
              </w:rPr>
            </w:pPr>
            <w:r>
              <w:rPr>
                <w:b/>
                <w:color w:val="538135"/>
                <w:sz w:val="20"/>
              </w:rPr>
              <w:t xml:space="preserve">C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F71838" w14:textId="77777777" w:rsidR="005A5ED0" w:rsidRDefault="005A5ED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A5ED0" w14:paraId="0FBF645C" w14:textId="77777777" w:rsidTr="005A5ED0">
        <w:trPr>
          <w:trHeight w:val="483"/>
        </w:trPr>
        <w:tc>
          <w:tcPr>
            <w:tcW w:w="8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003CC" w14:textId="77777777" w:rsidR="005A5ED0" w:rsidRDefault="005A5ED0">
            <w:pPr>
              <w:pStyle w:val="Tabletext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T33-T36 gan gynnwys G02, G03.</w:t>
            </w:r>
          </w:p>
        </w:tc>
        <w:tc>
          <w:tcPr>
            <w:tcW w:w="26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E966D" w14:textId="77777777" w:rsidR="005A5ED0" w:rsidRDefault="005A5ED0">
            <w:pPr>
              <w:pStyle w:val="Tabletext"/>
              <w:spacing w:after="240" w:line="276" w:lineRule="auto"/>
              <w:jc w:val="center"/>
              <w:rPr>
                <w:i/>
                <w:iCs/>
                <w:color w:val="111111"/>
                <w:sz w:val="16"/>
                <w:szCs w:val="16"/>
                <w:shd w:val="clear" w:color="auto" w:fill="FFFFFF"/>
              </w:rPr>
            </w:pPr>
            <w:r>
              <w:rPr>
                <w:sz w:val="16"/>
              </w:rPr>
              <w:t xml:space="preserve">Cyn adeiladu: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 xml:space="preserve">cwympo a thynnu i hwyluso’r gwaith adeiladu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97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DD467" w14:textId="77777777" w:rsidR="005A5ED0" w:rsidRDefault="005A5ED0">
            <w:pPr>
              <w:pStyle w:val="Tabletext"/>
              <w:spacing w:line="276" w:lineRule="auto"/>
              <w:rPr>
                <w:b/>
                <w:bCs/>
                <w:color w:val="538135"/>
                <w:sz w:val="20"/>
                <w:szCs w:val="20"/>
              </w:rPr>
            </w:pPr>
          </w:p>
          <w:p w14:paraId="197A3030" w14:textId="77777777" w:rsidR="005A5ED0" w:rsidRDefault="005A5ED0">
            <w:pPr>
              <w:pStyle w:val="Tabletext"/>
              <w:spacing w:line="276" w:lineRule="auto"/>
              <w:rPr>
                <w:b/>
                <w:bCs/>
                <w:color w:val="538135"/>
                <w:sz w:val="20"/>
                <w:szCs w:val="20"/>
              </w:rPr>
            </w:pPr>
            <w:r>
              <w:rPr>
                <w:b/>
                <w:color w:val="538135"/>
                <w:sz w:val="20"/>
              </w:rPr>
              <w:t xml:space="preserve">4 + 2G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760D3" w14:textId="77777777" w:rsidR="005A5ED0" w:rsidRDefault="005A5ED0">
            <w:pPr>
              <w:pStyle w:val="Tabletext"/>
              <w:spacing w:line="276" w:lineRule="auto"/>
              <w:rPr>
                <w:b/>
                <w:bCs/>
                <w:color w:val="538135"/>
                <w:sz w:val="20"/>
                <w:szCs w:val="20"/>
              </w:rPr>
            </w:pPr>
            <w:r>
              <w:rPr>
                <w:b/>
                <w:color w:val="538135"/>
                <w:sz w:val="20"/>
              </w:rPr>
              <w:t xml:space="preserve">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A721D" w14:textId="77777777" w:rsidR="005A5ED0" w:rsidRDefault="005A5ED0">
            <w:pPr>
              <w:pStyle w:val="Tabletext"/>
              <w:spacing w:line="276" w:lineRule="auto"/>
              <w:rPr>
                <w:b/>
                <w:bCs/>
                <w:color w:val="538135"/>
                <w:sz w:val="20"/>
                <w:szCs w:val="20"/>
              </w:rPr>
            </w:pPr>
            <w:r>
              <w:rPr>
                <w:b/>
                <w:color w:val="538135"/>
                <w:sz w:val="20"/>
              </w:rPr>
              <w:t xml:space="preserve">A</w:t>
            </w:r>
          </w:p>
        </w:tc>
        <w:tc>
          <w:tcPr>
            <w:tcW w:w="40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8BF4B" w14:textId="77777777" w:rsidR="005A5ED0" w:rsidRDefault="005A5ED0">
            <w:pPr>
              <w:pStyle w:val="Tabletext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Mae Ffigur 2, isod, yn dangos ychydig o waith clirio er mwyn i dryciau fflat llwytho isel allu danfon i ochr cledrau’r Bae.</w:t>
            </w:r>
          </w:p>
        </w:tc>
      </w:tr>
      <w:tr w:rsidR="005A5ED0" w14:paraId="44901783" w14:textId="77777777" w:rsidTr="005A5ED0">
        <w:trPr>
          <w:trHeight w:val="48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79D52B" w14:textId="77777777" w:rsidR="005A5ED0" w:rsidRDefault="005A5ED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F3B1DB" w14:textId="77777777" w:rsidR="005A5ED0" w:rsidRDefault="005A5ED0">
            <w:pPr>
              <w:rPr>
                <w:rFonts w:ascii="Tahoma" w:hAnsi="Tahoma" w:cs="Tahoma"/>
                <w:i/>
                <w:iCs/>
                <w:color w:val="11111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FAF33B" w14:textId="77777777" w:rsidR="005A5ED0" w:rsidRDefault="005A5ED0">
            <w:pPr>
              <w:rPr>
                <w:rFonts w:ascii="Tahoma" w:hAnsi="Tahoma" w:cs="Tahoma"/>
                <w:b/>
                <w:bCs/>
                <w:color w:val="538135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1DBA6" w14:textId="77777777" w:rsidR="005A5ED0" w:rsidRDefault="005A5ED0">
            <w:pPr>
              <w:pStyle w:val="Tabletext"/>
              <w:spacing w:line="276" w:lineRule="auto"/>
              <w:rPr>
                <w:b/>
                <w:bCs/>
                <w:color w:val="538135"/>
                <w:sz w:val="20"/>
                <w:szCs w:val="20"/>
              </w:rPr>
            </w:pPr>
            <w:r>
              <w:rPr>
                <w:b/>
                <w:color w:val="538135"/>
                <w:sz w:val="20"/>
              </w:rPr>
              <w:t xml:space="preserve">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45882" w14:textId="77777777" w:rsidR="005A5ED0" w:rsidRDefault="005A5ED0">
            <w:pPr>
              <w:pStyle w:val="Tabletext"/>
              <w:spacing w:line="276" w:lineRule="auto"/>
              <w:rPr>
                <w:b/>
                <w:bCs/>
                <w:color w:val="538135"/>
                <w:sz w:val="20"/>
                <w:szCs w:val="20"/>
              </w:rPr>
            </w:pPr>
            <w:r>
              <w:rPr>
                <w:b/>
                <w:color w:val="538135"/>
                <w:sz w:val="20"/>
              </w:rPr>
              <w:t xml:space="preserve">B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A4279A" w14:textId="77777777" w:rsidR="005A5ED0" w:rsidRDefault="005A5ED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A5ED0" w14:paraId="66901A29" w14:textId="77777777" w:rsidTr="005A5ED0">
        <w:trPr>
          <w:trHeight w:val="368"/>
        </w:trPr>
        <w:tc>
          <w:tcPr>
            <w:tcW w:w="8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2CAE3" w14:textId="77777777" w:rsidR="005A5ED0" w:rsidRDefault="005A5ED0">
            <w:pPr>
              <w:pStyle w:val="Tabletext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T48-T60 gan gynnwys G04</w:t>
            </w:r>
          </w:p>
        </w:tc>
        <w:tc>
          <w:tcPr>
            <w:tcW w:w="26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E5F8D" w14:textId="77777777" w:rsidR="005A5ED0" w:rsidRDefault="005A5ED0">
            <w:pPr>
              <w:pStyle w:val="Tabletext"/>
              <w:spacing w:line="276" w:lineRule="auto"/>
              <w:jc w:val="center"/>
              <w:rPr>
                <w:i/>
                <w:iCs/>
                <w:color w:val="111111"/>
                <w:sz w:val="16"/>
                <w:szCs w:val="16"/>
                <w:shd w:val="clear" w:color="auto" w:fill="FFFFFF"/>
              </w:rPr>
            </w:pPr>
            <w:r>
              <w:rPr>
                <w:sz w:val="16"/>
              </w:rPr>
              <w:t xml:space="preserve">Cyn adeiladu: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 xml:space="preserve">cwympo a thynnu i hwyluso’r gwaith adeiladu – ôl troed Gorsaf Bae Caerdydd</w:t>
            </w:r>
          </w:p>
        </w:tc>
        <w:tc>
          <w:tcPr>
            <w:tcW w:w="97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46C14" w14:textId="77777777" w:rsidR="005A5ED0" w:rsidRDefault="005A5ED0">
            <w:pPr>
              <w:pStyle w:val="Tabletext"/>
              <w:spacing w:line="276" w:lineRule="auto"/>
              <w:rPr>
                <w:b/>
                <w:bCs/>
                <w:color w:val="538135"/>
                <w:sz w:val="20"/>
                <w:szCs w:val="20"/>
              </w:rPr>
            </w:pPr>
          </w:p>
          <w:p w14:paraId="78E31C85" w14:textId="77777777" w:rsidR="005A5ED0" w:rsidRDefault="005A5ED0">
            <w:pPr>
              <w:pStyle w:val="Tabletext"/>
              <w:spacing w:line="276" w:lineRule="auto"/>
              <w:rPr>
                <w:b/>
                <w:bCs/>
                <w:color w:val="538135"/>
                <w:sz w:val="20"/>
                <w:szCs w:val="20"/>
              </w:rPr>
            </w:pPr>
            <w:r>
              <w:rPr>
                <w:b/>
                <w:color w:val="538135"/>
                <w:sz w:val="20"/>
              </w:rPr>
              <w:t xml:space="preserve">13 + 1G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A11AE" w14:textId="77777777" w:rsidR="005A5ED0" w:rsidRDefault="005A5ED0">
            <w:pPr>
              <w:pStyle w:val="Tabletext"/>
              <w:spacing w:line="276" w:lineRule="auto"/>
              <w:rPr>
                <w:b/>
                <w:bCs/>
                <w:color w:val="538135"/>
                <w:sz w:val="20"/>
                <w:szCs w:val="20"/>
              </w:rPr>
            </w:pPr>
            <w:r>
              <w:rPr>
                <w:b/>
                <w:color w:val="538135"/>
                <w:sz w:val="20"/>
              </w:rPr>
              <w:t xml:space="preserve">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50153" w14:textId="77777777" w:rsidR="005A5ED0" w:rsidRDefault="005A5ED0">
            <w:pPr>
              <w:pStyle w:val="Tabletext"/>
              <w:spacing w:line="276" w:lineRule="auto"/>
              <w:rPr>
                <w:b/>
                <w:bCs/>
                <w:color w:val="538135"/>
                <w:sz w:val="20"/>
                <w:szCs w:val="20"/>
              </w:rPr>
            </w:pPr>
            <w:r>
              <w:rPr>
                <w:b/>
                <w:color w:val="538135"/>
                <w:sz w:val="20"/>
              </w:rPr>
              <w:t xml:space="preserve">A</w:t>
            </w:r>
          </w:p>
        </w:tc>
        <w:tc>
          <w:tcPr>
            <w:tcW w:w="40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0A113" w14:textId="77777777" w:rsidR="005A5ED0" w:rsidRDefault="005A5ED0">
            <w:pPr>
              <w:pStyle w:val="Tabletext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Mae’r coed hyn yn dod o fewn ôl troed gwaith parhaol Gorsaf newydd Bae Caerdydd.</w:t>
            </w:r>
          </w:p>
        </w:tc>
      </w:tr>
      <w:tr w:rsidR="005A5ED0" w14:paraId="1DDD3037" w14:textId="77777777" w:rsidTr="005A5ED0">
        <w:trPr>
          <w:trHeight w:val="36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4882F1" w14:textId="77777777" w:rsidR="005A5ED0" w:rsidRDefault="005A5ED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D42E8C" w14:textId="77777777" w:rsidR="005A5ED0" w:rsidRDefault="005A5ED0">
            <w:pPr>
              <w:rPr>
                <w:rFonts w:ascii="Tahoma" w:hAnsi="Tahoma" w:cs="Tahoma"/>
                <w:i/>
                <w:iCs/>
                <w:color w:val="11111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0A5FEB" w14:textId="77777777" w:rsidR="005A5ED0" w:rsidRDefault="005A5ED0">
            <w:pPr>
              <w:rPr>
                <w:rFonts w:ascii="Tahoma" w:hAnsi="Tahoma" w:cs="Tahoma"/>
                <w:b/>
                <w:bCs/>
                <w:color w:val="538135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E708C" w14:textId="77777777" w:rsidR="005A5ED0" w:rsidRDefault="005A5ED0">
            <w:pPr>
              <w:pStyle w:val="Tabletext"/>
              <w:spacing w:line="276" w:lineRule="auto"/>
              <w:rPr>
                <w:b/>
                <w:bCs/>
                <w:color w:val="538135"/>
                <w:sz w:val="20"/>
                <w:szCs w:val="20"/>
              </w:rPr>
            </w:pPr>
            <w:r>
              <w:rPr>
                <w:b/>
                <w:color w:val="538135"/>
                <w:sz w:val="20"/>
              </w:rPr>
              <w:t xml:space="preserve">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06AD8" w14:textId="77777777" w:rsidR="005A5ED0" w:rsidRDefault="005A5ED0">
            <w:pPr>
              <w:pStyle w:val="Tabletext"/>
              <w:spacing w:line="276" w:lineRule="auto"/>
              <w:rPr>
                <w:b/>
                <w:bCs/>
                <w:color w:val="538135"/>
                <w:sz w:val="20"/>
                <w:szCs w:val="20"/>
              </w:rPr>
            </w:pPr>
            <w:r>
              <w:rPr>
                <w:b/>
                <w:color w:val="538135"/>
                <w:sz w:val="20"/>
              </w:rPr>
              <w:t xml:space="preserve">B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0FE552" w14:textId="77777777" w:rsidR="005A5ED0" w:rsidRDefault="005A5ED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A5ED0" w14:paraId="33F384FD" w14:textId="77777777" w:rsidTr="005A5ED0">
        <w:trPr>
          <w:trHeight w:val="36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8F7503" w14:textId="77777777" w:rsidR="005A5ED0" w:rsidRDefault="005A5ED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88D56D" w14:textId="77777777" w:rsidR="005A5ED0" w:rsidRDefault="005A5ED0">
            <w:pPr>
              <w:rPr>
                <w:rFonts w:ascii="Tahoma" w:hAnsi="Tahoma" w:cs="Tahoma"/>
                <w:i/>
                <w:iCs/>
                <w:color w:val="11111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706833" w14:textId="77777777" w:rsidR="005A5ED0" w:rsidRDefault="005A5ED0">
            <w:pPr>
              <w:rPr>
                <w:rFonts w:ascii="Tahoma" w:hAnsi="Tahoma" w:cs="Tahoma"/>
                <w:b/>
                <w:bCs/>
                <w:color w:val="538135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A4FCE" w14:textId="77777777" w:rsidR="005A5ED0" w:rsidRDefault="005A5ED0">
            <w:pPr>
              <w:pStyle w:val="Tabletext"/>
              <w:spacing w:line="276" w:lineRule="auto"/>
              <w:rPr>
                <w:b/>
                <w:bCs/>
                <w:color w:val="538135"/>
                <w:sz w:val="20"/>
                <w:szCs w:val="20"/>
              </w:rPr>
            </w:pPr>
            <w:r>
              <w:rPr>
                <w:b/>
                <w:color w:val="538135"/>
                <w:sz w:val="20"/>
              </w:rPr>
              <w:t xml:space="preserve"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48588" w14:textId="77777777" w:rsidR="005A5ED0" w:rsidRDefault="005A5ED0">
            <w:pPr>
              <w:pStyle w:val="Tabletext"/>
              <w:spacing w:line="276" w:lineRule="auto"/>
              <w:rPr>
                <w:b/>
                <w:bCs/>
                <w:color w:val="538135"/>
                <w:sz w:val="20"/>
                <w:szCs w:val="20"/>
              </w:rPr>
            </w:pPr>
            <w:r>
              <w:rPr>
                <w:b/>
                <w:color w:val="538135"/>
                <w:sz w:val="20"/>
              </w:rPr>
              <w:t xml:space="preserve">C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7350E8" w14:textId="77777777" w:rsidR="005A5ED0" w:rsidRDefault="005A5ED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14:paraId="2041AAEE" w14:textId="77777777" w:rsidR="005A5ED0" w:rsidRDefault="005A5ED0" w:rsidP="005A5ED0">
      <w:pPr>
        <w:rPr>
          <w:rFonts w:ascii="Calibri" w:hAnsi="Calibri" w:cs="Calibri"/>
        </w:rPr>
      </w:pPr>
    </w:p>
    <w:p w14:paraId="12472C91" w14:textId="77777777" w:rsidR="005A5ED0" w:rsidRDefault="005A5ED0" w:rsidP="005A5ED0">
      <w:r>
        <w:t xml:space="preserve">Ar ben hynny, mae disgwyl y bydd effaith ar goed stryd ar hyd Stryd Bute er mwyn hwyluso’r gofynion o ran Clirio Llinellau Uwchben ar gyfer trydaneiddio’r llinell.</w:t>
      </w:r>
      <w:r>
        <w:t xml:space="preserve">  </w:t>
      </w:r>
      <w:r>
        <w:t xml:space="preserve">Bydd hyn yn gofyn am gymysgedd o gwympo coed yn llawn a lleihau’r corun yn rhannol er mwyn cyrraedd y terfynau pellter diogelwch gofynnol.</w:t>
      </w:r>
      <w:r>
        <w:t xml:space="preserve">  </w:t>
      </w:r>
      <w:r>
        <w:t xml:space="preserve">Ar hyn o bryd, nid yw hyd a lled yr effaith hon yn hysbys nes bydd dyluniad trydaneiddio’r rheilffordd wedi’i gwblhau’n derfynol.</w:t>
      </w:r>
      <w:r>
        <w:t xml:space="preserve">  </w:t>
      </w:r>
      <w:r>
        <w:t xml:space="preserve">Mae’r amcangyfrifon presennol yn rhagweld y bydd angen cwympo tua 17 o’r 54 o goed sydd ar hyd palmant dwyreiniol Stryd Bute ochr yn ochr â wal gynnal y rheilffordd.</w:t>
      </w:r>
      <w:r>
        <w:t xml:space="preserve">  </w:t>
      </w:r>
      <w:r>
        <w:t xml:space="preserve">Bydd cwtogi’r corunau gan fwyaf o gwmpas 1-4 metr. </w:t>
      </w:r>
    </w:p>
    <w:p w14:paraId="076F0485" w14:textId="77777777" w:rsidR="007E3CF9" w:rsidRPr="007E3CF9" w:rsidRDefault="007E3CF9" w:rsidP="007E3CF9">
      <w:pPr>
        <w:rPr>
          <w:b/>
          <w:bCs/>
          <w:rFonts w:ascii="Calibri" w:hAnsi="Calibri" w:cs="Calibri"/>
        </w:rPr>
      </w:pPr>
      <w:r>
        <w:rPr>
          <w:b/>
          <w:rFonts w:ascii="Calibri" w:hAnsi="Calibri"/>
        </w:rPr>
        <w:t xml:space="preserve">-Beth fydd Trafnidiaeth Cymru yn ei wneud i wrthbwyso effaith amgylcheddol rheilffordd newydd y Bae?</w:t>
      </w:r>
    </w:p>
    <w:p w14:paraId="490D217B" w14:textId="77777777" w:rsidR="007E3CF9" w:rsidRDefault="007E3CF9" w:rsidP="007E3CF9">
      <w:pPr>
        <w:rPr>
          <w:rFonts w:ascii="Calibri" w:hAnsi="Calibri" w:cs="Calibri"/>
          <w:b/>
          <w:bCs/>
        </w:rPr>
      </w:pPr>
    </w:p>
    <w:p w14:paraId="7069B98C" w14:textId="756E61FF" w:rsidR="00E154DF" w:rsidRDefault="007E3CF9" w:rsidP="00266845">
      <w:pPr>
        <w:rPr>
          <w:rFonts w:ascii="Calibri" w:hAnsi="Calibri" w:cs="Calibri"/>
        </w:rPr>
      </w:pPr>
      <w:r>
        <w:rPr>
          <w:rFonts w:ascii="Calibri" w:hAnsi="Calibri"/>
        </w:rPr>
        <w:t xml:space="preserve">Mae ein</w:t>
      </w:r>
      <w:r>
        <w:rPr>
          <w:color w:val="333333"/>
          <w:sz w:val="24"/>
          <w:shd w:val="clear" w:color="auto" w:fill="FFFFFF"/>
          <w:rFonts w:ascii="Calibri" w:hAnsi="Calibri"/>
        </w:rPr>
        <w:t xml:space="preserve"> </w:t>
      </w:r>
      <w:hyperlink r:id="rId10" w:history="1">
        <w:r>
          <w:rPr>
            <w:rStyle w:val="Hyperlink"/>
            <w:color w:val="003DA6"/>
            <w:shd w:val="clear" w:color="auto" w:fill="FFFFFF"/>
            <w:rFonts w:ascii="Calibri" w:hAnsi="Calibri"/>
          </w:rPr>
          <w:t xml:space="preserve">Cynllun Gweithredu Bioamrywiaeth</w:t>
        </w:r>
      </w:hyperlink>
      <w:r>
        <w:rPr>
          <w:color w:val="333333"/>
          <w:sz w:val="24"/>
          <w:shd w:val="clear" w:color="auto" w:fill="FFFFFF"/>
          <w:rFonts w:ascii="Calibri" w:hAnsi="Calibri"/>
        </w:rPr>
        <w:t xml:space="preserve"> </w:t>
      </w:r>
      <w:r>
        <w:rPr>
          <w:rFonts w:ascii="Calibri" w:hAnsi="Calibri"/>
        </w:rPr>
        <w:t xml:space="preserve">yn nodi sut byddwn yn diogelu ac yn gwella bioamrywiaeth, wrth ddarparu rhwydwaith trafnidiaeth sy’n well, yn fwy integredig a mwy cynaliadwy.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Byddwn yn ymchwilio i’r holl opsiynau ar gyfer gwella bioamrywiaeth ar ôl y prosiect; gan gynnwys adolygiad llawn o’n hasedau ar ochr y rheilffordd ac ymhle y gallwn ni sicrhau’r manteision bywyd gwyllt gorau posibl.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Bydd hyn yn cynnwys creu cynefinoedd a gwella cynefinoedd; lle bo hynny’n briodol.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Bydd hyn yn creu cynefinoedd gwell, mwy o faint, mwy cadarn a fydd yn fwy cysylltiedig ar gyfer bywyd gwyllt brodorol ac yn cyflwyno bywyd newydd ochr yn ochr â’n rhwydwaith rheilffyrdd.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O ran yr hyn y byddwn yn ei blannu, penderfynir ar hyn fesul achos o ran beth sydd fwyaf addas yn yr ardal leol o ystyried bioamrywiaeth ac addasu i’r newid yn yr hinsawdd, gan gydbwyso gofynion iechyd a diogelwch ar yr un pryd.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Er enghraifft, mewn rhai ardaloedd mae llystyfiant glaswelltir neu brysgwydd sy’n tyfu’n isel yn gallu cynnig mwy o fanteision i fywyd gwyllt o gymharu ag ailblannu coed unigol.</w:t>
      </w:r>
    </w:p>
    <w:p w14:paraId="2640FA5F" w14:textId="77777777" w:rsidR="00266845" w:rsidRPr="00266845" w:rsidRDefault="00266845" w:rsidP="00266845">
      <w:pPr>
        <w:rPr>
          <w:rFonts w:ascii="Calibri" w:hAnsi="Calibri" w:cs="Calibri"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</w:t>
      </w:r>
      <w:r>
        <w:t xml:space="preserve">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 xml:space="preserve"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14790631">
                <wp:simplePos x="0" y="0"/>
                <wp:positionH relativeFrom="margin">
                  <wp:posOffset>-91440</wp:posOffset>
                </wp:positionH>
                <wp:positionV relativeFrom="paragraph">
                  <wp:posOffset>240665</wp:posOffset>
                </wp:positionV>
                <wp:extent cx="5943600" cy="25603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Hawliau Apelio</w:t>
                            </w:r>
                          </w:p>
                          <w:p w14:paraId="1827398E" w14:textId="578008AA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 xml:space="preserve">freedomofinformation@tfw.wales</w:t>
                              </w:r>
                            </w:hyperlink>
                            <w:r>
                              <w:t xml:space="preserve">.</w:t>
                            </w:r>
                            <w:r>
                              <w:t xml:space="preserve"> </w:t>
                            </w:r>
                            <w:r>
                              <w:t xml:space="preserve">Rhaid i’ch cais gael ei gyflwyno cyn pen 40 diwrnod gwaith ar ôl derbyn y llythyr hwn.</w:t>
                            </w:r>
                            <w:r>
                              <w:t xml:space="preserve"> </w:t>
                            </w:r>
                            <w:r>
                              <w:t xml:space="preserve">Os nad ydych chi’n fodlon ar ganlyniad yr adolygiad mewnol, mae gennych hawl i wneud cais yn uniongyrchol i’r Comisiynydd Gwybodaeth am benderfyniad.</w:t>
                            </w:r>
                            <w:r>
                              <w:t xml:space="preserve">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Wycliffe House, Water Lane, Wilmslow, Cheshire, SK9 5AF neu gallwch chi gysylltu â Swyddfa’r Comisiynydd Gwybodaeth drwy adran ‘Gwneud Cwyn’ eu gwefan ar y ddolen hon: </w:t>
                            </w:r>
                            <w:hyperlink r:id="rId12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 xml:space="preserve"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 xml:space="preserve"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8.95pt;width:468pt;height:20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 xml:space="preserve">Hawliau Apelio</w:t>
                      </w:r>
                    </w:p>
                    <w:p w14:paraId="1827398E" w14:textId="578008AA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1" w:history="1">
                        <w:r>
                          <w:rPr>
                            <w:rStyle w:val="Hyperlink"/>
                            <w:color w:val="auto"/>
                          </w:rPr>
                          <w:t xml:space="preserve">freedomofinformation@tfw.wales</w:t>
                        </w:r>
                      </w:hyperlink>
                      <w:r>
                        <w:t xml:space="preserve">.</w:t>
                      </w:r>
                      <w:r>
                        <w:t xml:space="preserve"> </w:t>
                      </w:r>
                      <w:r>
                        <w:t xml:space="preserve">Rhaid i’ch cais gael ei gyflwyno cyn pen 40 diwrnod gwaith ar ôl derbyn y llythyr hwn.</w:t>
                      </w:r>
                      <w:r>
                        <w:t xml:space="preserve"> </w:t>
                      </w:r>
                      <w:r>
                        <w:t xml:space="preserve">Os nad ydych chi’n fodlon ar ganlyniad yr adolygiad mewnol, mae gennych hawl i wneud cais yn uniongyrchol i’r Comisiynydd Gwybodaeth am benderfyniad.</w:t>
                      </w:r>
                      <w:r>
                        <w:t xml:space="preserve">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Wycliffe House, Water Lane, Wilmslow, Cheshire, SK9 5AF neu gallwch chi gysylltu â Swyddfa’r Comisiynydd Gwybodaeth drwy adran ‘Gwneud Cwyn’ eu gwefan ar y ddolen hon: </w:t>
                      </w:r>
                      <w:hyperlink r:id="rId12" w:history="1">
                        <w:r>
                          <w:rPr>
                            <w:rStyle w:val="Hyperlink"/>
                            <w:color w:val="auto"/>
                          </w:rPr>
                          <w:t xml:space="preserve"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 xml:space="preserve"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351B5" w14:textId="77777777" w:rsidR="00511BF1" w:rsidRDefault="00511BF1" w:rsidP="0029704C">
      <w:pPr>
        <w:spacing w:after="0" w:line="240" w:lineRule="auto"/>
      </w:pPr>
      <w:r>
        <w:separator/>
      </w:r>
    </w:p>
  </w:endnote>
  <w:endnote w:type="continuationSeparator" w:id="0">
    <w:p w14:paraId="157DF1A3" w14:textId="77777777" w:rsidR="00511BF1" w:rsidRDefault="00511BF1" w:rsidP="0029704C">
      <w:pPr>
        <w:spacing w:after="0" w:line="240" w:lineRule="auto"/>
      </w:pPr>
      <w:r>
        <w:continuationSeparator/>
      </w:r>
    </w:p>
  </w:endnote>
  <w:endnote w:type="continuationNotice" w:id="1">
    <w:p w14:paraId="27A88924" w14:textId="77777777" w:rsidR="00511BF1" w:rsidRDefault="00511B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DEC98" w14:textId="77777777" w:rsidR="00511BF1" w:rsidRDefault="00511BF1" w:rsidP="0029704C">
      <w:pPr>
        <w:spacing w:after="0" w:line="240" w:lineRule="auto"/>
      </w:pPr>
      <w:r>
        <w:separator/>
      </w:r>
    </w:p>
  </w:footnote>
  <w:footnote w:type="continuationSeparator" w:id="0">
    <w:p w14:paraId="2EF70BD7" w14:textId="77777777" w:rsidR="00511BF1" w:rsidRDefault="00511BF1" w:rsidP="0029704C">
      <w:pPr>
        <w:spacing w:after="0" w:line="240" w:lineRule="auto"/>
      </w:pPr>
      <w:r>
        <w:continuationSeparator/>
      </w:r>
    </w:p>
  </w:footnote>
  <w:footnote w:type="continuationNotice" w:id="1">
    <w:p w14:paraId="217AD91E" w14:textId="77777777" w:rsidR="00511BF1" w:rsidRDefault="00511B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5F5" w14:textId="68D95C70" w:rsidR="0029704C" w:rsidRDefault="0029704C">
    <w:pPr>
      <w:pStyle w:val="Header"/>
    </w:pPr>
    <w: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A4AB6"/>
    <w:multiLevelType w:val="hybridMultilevel"/>
    <w:tmpl w:val="BF0488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84327"/>
    <w:multiLevelType w:val="hybridMultilevel"/>
    <w:tmpl w:val="D0864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61A84"/>
    <w:multiLevelType w:val="hybridMultilevel"/>
    <w:tmpl w:val="F2AC65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035B3"/>
    <w:multiLevelType w:val="hybridMultilevel"/>
    <w:tmpl w:val="C688F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16125"/>
    <w:multiLevelType w:val="hybridMultilevel"/>
    <w:tmpl w:val="628E6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7420A"/>
    <w:multiLevelType w:val="multilevel"/>
    <w:tmpl w:val="D1565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640028AF"/>
    <w:multiLevelType w:val="multilevel"/>
    <w:tmpl w:val="5DD8B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1" w15:restartNumberingAfterBreak="0">
    <w:nsid w:val="68123CAD"/>
    <w:multiLevelType w:val="hybridMultilevel"/>
    <w:tmpl w:val="F1920F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F7694"/>
    <w:multiLevelType w:val="hybridMultilevel"/>
    <w:tmpl w:val="D3CA85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FD3080F"/>
    <w:multiLevelType w:val="hybridMultilevel"/>
    <w:tmpl w:val="BC1055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98094724">
    <w:abstractNumId w:val="4"/>
  </w:num>
  <w:num w:numId="2" w16cid:durableId="1916353855">
    <w:abstractNumId w:val="8"/>
  </w:num>
  <w:num w:numId="3" w16cid:durableId="1632709340">
    <w:abstractNumId w:val="0"/>
  </w:num>
  <w:num w:numId="4" w16cid:durableId="1687706889">
    <w:abstractNumId w:val="13"/>
  </w:num>
  <w:num w:numId="5" w16cid:durableId="447050164">
    <w:abstractNumId w:val="7"/>
  </w:num>
  <w:num w:numId="6" w16cid:durableId="1085153704">
    <w:abstractNumId w:val="9"/>
  </w:num>
  <w:num w:numId="7" w16cid:durableId="18418906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17650042">
    <w:abstractNumId w:val="5"/>
  </w:num>
  <w:num w:numId="9" w16cid:durableId="597829678">
    <w:abstractNumId w:val="6"/>
  </w:num>
  <w:num w:numId="10" w16cid:durableId="2076127692">
    <w:abstractNumId w:val="1"/>
  </w:num>
  <w:num w:numId="11" w16cid:durableId="1218473506">
    <w:abstractNumId w:val="11"/>
  </w:num>
  <w:num w:numId="12" w16cid:durableId="1824615605">
    <w:abstractNumId w:val="3"/>
  </w:num>
  <w:num w:numId="13" w16cid:durableId="2126925490">
    <w:abstractNumId w:val="2"/>
  </w:num>
  <w:num w:numId="14" w16cid:durableId="164785147">
    <w:abstractNumId w:val="14"/>
  </w:num>
  <w:num w:numId="15" w16cid:durableId="13100924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 w:grammar="dirty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C"/>
    <w:rsid w:val="0000114D"/>
    <w:rsid w:val="00002024"/>
    <w:rsid w:val="000061F5"/>
    <w:rsid w:val="00050181"/>
    <w:rsid w:val="0005296A"/>
    <w:rsid w:val="00060001"/>
    <w:rsid w:val="00064D26"/>
    <w:rsid w:val="0006520C"/>
    <w:rsid w:val="00076762"/>
    <w:rsid w:val="0008339D"/>
    <w:rsid w:val="00084A12"/>
    <w:rsid w:val="00084AA4"/>
    <w:rsid w:val="00091451"/>
    <w:rsid w:val="00092BE5"/>
    <w:rsid w:val="000A46FB"/>
    <w:rsid w:val="000B4F61"/>
    <w:rsid w:val="000C0C50"/>
    <w:rsid w:val="000C435B"/>
    <w:rsid w:val="000D6B76"/>
    <w:rsid w:val="000E53B7"/>
    <w:rsid w:val="000E7802"/>
    <w:rsid w:val="000F039C"/>
    <w:rsid w:val="000F0A57"/>
    <w:rsid w:val="000F36E4"/>
    <w:rsid w:val="00106DE7"/>
    <w:rsid w:val="00120FC3"/>
    <w:rsid w:val="00121A1E"/>
    <w:rsid w:val="00126F78"/>
    <w:rsid w:val="00127C25"/>
    <w:rsid w:val="0013481D"/>
    <w:rsid w:val="00150F52"/>
    <w:rsid w:val="0016361E"/>
    <w:rsid w:val="001869B3"/>
    <w:rsid w:val="0018760E"/>
    <w:rsid w:val="001A1182"/>
    <w:rsid w:val="001A42CB"/>
    <w:rsid w:val="001B369B"/>
    <w:rsid w:val="001B6034"/>
    <w:rsid w:val="001B6FC8"/>
    <w:rsid w:val="001D0EB8"/>
    <w:rsid w:val="001E4C29"/>
    <w:rsid w:val="001F47D6"/>
    <w:rsid w:val="00217E85"/>
    <w:rsid w:val="0023065D"/>
    <w:rsid w:val="00243C1C"/>
    <w:rsid w:val="002532E8"/>
    <w:rsid w:val="00266845"/>
    <w:rsid w:val="00271383"/>
    <w:rsid w:val="0027240C"/>
    <w:rsid w:val="00293CEC"/>
    <w:rsid w:val="00295410"/>
    <w:rsid w:val="0029704C"/>
    <w:rsid w:val="002975B5"/>
    <w:rsid w:val="002A7139"/>
    <w:rsid w:val="002B38BF"/>
    <w:rsid w:val="002C45FB"/>
    <w:rsid w:val="002C48AD"/>
    <w:rsid w:val="002C5C5E"/>
    <w:rsid w:val="002E3002"/>
    <w:rsid w:val="002E4D66"/>
    <w:rsid w:val="00305CD3"/>
    <w:rsid w:val="0033704E"/>
    <w:rsid w:val="00337EE8"/>
    <w:rsid w:val="003605D6"/>
    <w:rsid w:val="003A66BB"/>
    <w:rsid w:val="003B64F1"/>
    <w:rsid w:val="003E56B2"/>
    <w:rsid w:val="003E5FF1"/>
    <w:rsid w:val="003F3973"/>
    <w:rsid w:val="0041139F"/>
    <w:rsid w:val="0042257B"/>
    <w:rsid w:val="00422689"/>
    <w:rsid w:val="00431B9A"/>
    <w:rsid w:val="00460408"/>
    <w:rsid w:val="004770D2"/>
    <w:rsid w:val="0049234E"/>
    <w:rsid w:val="004B27C7"/>
    <w:rsid w:val="004B2D50"/>
    <w:rsid w:val="004D2ED9"/>
    <w:rsid w:val="004E19CD"/>
    <w:rsid w:val="004F2D0C"/>
    <w:rsid w:val="00511BF1"/>
    <w:rsid w:val="0053128D"/>
    <w:rsid w:val="005446A4"/>
    <w:rsid w:val="00585951"/>
    <w:rsid w:val="00586E64"/>
    <w:rsid w:val="00590396"/>
    <w:rsid w:val="005A1697"/>
    <w:rsid w:val="005A232C"/>
    <w:rsid w:val="005A5ED0"/>
    <w:rsid w:val="005B50D2"/>
    <w:rsid w:val="005D18F5"/>
    <w:rsid w:val="005D5730"/>
    <w:rsid w:val="005F512A"/>
    <w:rsid w:val="00604616"/>
    <w:rsid w:val="00617231"/>
    <w:rsid w:val="006276CE"/>
    <w:rsid w:val="006325F9"/>
    <w:rsid w:val="00633DB7"/>
    <w:rsid w:val="00640D42"/>
    <w:rsid w:val="00661880"/>
    <w:rsid w:val="006976DB"/>
    <w:rsid w:val="006F1796"/>
    <w:rsid w:val="00700245"/>
    <w:rsid w:val="007237CD"/>
    <w:rsid w:val="0072574F"/>
    <w:rsid w:val="00730D02"/>
    <w:rsid w:val="007346B1"/>
    <w:rsid w:val="00734872"/>
    <w:rsid w:val="007509CF"/>
    <w:rsid w:val="007540D6"/>
    <w:rsid w:val="00760E93"/>
    <w:rsid w:val="00763D1C"/>
    <w:rsid w:val="00764BF7"/>
    <w:rsid w:val="007816E1"/>
    <w:rsid w:val="00782D70"/>
    <w:rsid w:val="00797A24"/>
    <w:rsid w:val="007B324E"/>
    <w:rsid w:val="007D46CF"/>
    <w:rsid w:val="007E3CF9"/>
    <w:rsid w:val="008106E9"/>
    <w:rsid w:val="00811130"/>
    <w:rsid w:val="008142C8"/>
    <w:rsid w:val="00833A37"/>
    <w:rsid w:val="008362B2"/>
    <w:rsid w:val="00840CBC"/>
    <w:rsid w:val="0086598D"/>
    <w:rsid w:val="00875924"/>
    <w:rsid w:val="008943C9"/>
    <w:rsid w:val="00894445"/>
    <w:rsid w:val="008A6BEE"/>
    <w:rsid w:val="008B4AEA"/>
    <w:rsid w:val="008B4C1A"/>
    <w:rsid w:val="008D5428"/>
    <w:rsid w:val="008D6A14"/>
    <w:rsid w:val="00905666"/>
    <w:rsid w:val="00920E37"/>
    <w:rsid w:val="009228B6"/>
    <w:rsid w:val="009506DD"/>
    <w:rsid w:val="00955621"/>
    <w:rsid w:val="00955C33"/>
    <w:rsid w:val="0095701E"/>
    <w:rsid w:val="00962DA6"/>
    <w:rsid w:val="009730BB"/>
    <w:rsid w:val="00990EE7"/>
    <w:rsid w:val="00994870"/>
    <w:rsid w:val="00997895"/>
    <w:rsid w:val="009A1797"/>
    <w:rsid w:val="009A25CC"/>
    <w:rsid w:val="009C2521"/>
    <w:rsid w:val="009C2579"/>
    <w:rsid w:val="009C283F"/>
    <w:rsid w:val="009D1AAA"/>
    <w:rsid w:val="009D79AC"/>
    <w:rsid w:val="009E53BE"/>
    <w:rsid w:val="009E6357"/>
    <w:rsid w:val="009F0628"/>
    <w:rsid w:val="009F476E"/>
    <w:rsid w:val="00A0047F"/>
    <w:rsid w:val="00A12D5B"/>
    <w:rsid w:val="00A20006"/>
    <w:rsid w:val="00A236D8"/>
    <w:rsid w:val="00A57132"/>
    <w:rsid w:val="00A6144F"/>
    <w:rsid w:val="00A70333"/>
    <w:rsid w:val="00A71943"/>
    <w:rsid w:val="00A8347B"/>
    <w:rsid w:val="00A90D11"/>
    <w:rsid w:val="00A96833"/>
    <w:rsid w:val="00AA2750"/>
    <w:rsid w:val="00AD480A"/>
    <w:rsid w:val="00AD510D"/>
    <w:rsid w:val="00AD5B78"/>
    <w:rsid w:val="00B03466"/>
    <w:rsid w:val="00B05D1F"/>
    <w:rsid w:val="00B26A0E"/>
    <w:rsid w:val="00B30103"/>
    <w:rsid w:val="00B4563D"/>
    <w:rsid w:val="00B5151F"/>
    <w:rsid w:val="00B602F5"/>
    <w:rsid w:val="00B72744"/>
    <w:rsid w:val="00B9465B"/>
    <w:rsid w:val="00B957A2"/>
    <w:rsid w:val="00BA2AE7"/>
    <w:rsid w:val="00BC1EA7"/>
    <w:rsid w:val="00BD0492"/>
    <w:rsid w:val="00BE1084"/>
    <w:rsid w:val="00BE5B50"/>
    <w:rsid w:val="00C317B9"/>
    <w:rsid w:val="00C5241C"/>
    <w:rsid w:val="00C57EB8"/>
    <w:rsid w:val="00C63256"/>
    <w:rsid w:val="00C702FD"/>
    <w:rsid w:val="00C80C97"/>
    <w:rsid w:val="00C84928"/>
    <w:rsid w:val="00C8719B"/>
    <w:rsid w:val="00C875B3"/>
    <w:rsid w:val="00C93B74"/>
    <w:rsid w:val="00C9519D"/>
    <w:rsid w:val="00C97AB0"/>
    <w:rsid w:val="00CB29C7"/>
    <w:rsid w:val="00CC3FFD"/>
    <w:rsid w:val="00CD2DDF"/>
    <w:rsid w:val="00CE2068"/>
    <w:rsid w:val="00CF0450"/>
    <w:rsid w:val="00CF78BC"/>
    <w:rsid w:val="00CF7A5D"/>
    <w:rsid w:val="00D14B32"/>
    <w:rsid w:val="00D201A0"/>
    <w:rsid w:val="00D263B3"/>
    <w:rsid w:val="00D324BB"/>
    <w:rsid w:val="00D32B2D"/>
    <w:rsid w:val="00D3743B"/>
    <w:rsid w:val="00D60775"/>
    <w:rsid w:val="00D67864"/>
    <w:rsid w:val="00DB0081"/>
    <w:rsid w:val="00DB6819"/>
    <w:rsid w:val="00DB6DB0"/>
    <w:rsid w:val="00DC38BC"/>
    <w:rsid w:val="00DC4F13"/>
    <w:rsid w:val="00DE1B2D"/>
    <w:rsid w:val="00DE3034"/>
    <w:rsid w:val="00DF2829"/>
    <w:rsid w:val="00E0646A"/>
    <w:rsid w:val="00E154DF"/>
    <w:rsid w:val="00E2126A"/>
    <w:rsid w:val="00E24CBC"/>
    <w:rsid w:val="00E35FFE"/>
    <w:rsid w:val="00E47F42"/>
    <w:rsid w:val="00E51B12"/>
    <w:rsid w:val="00E53352"/>
    <w:rsid w:val="00E664E7"/>
    <w:rsid w:val="00E8344B"/>
    <w:rsid w:val="00EB4F10"/>
    <w:rsid w:val="00EE479D"/>
    <w:rsid w:val="00EF058F"/>
    <w:rsid w:val="00F35E54"/>
    <w:rsid w:val="00F45AEF"/>
    <w:rsid w:val="00F65A95"/>
    <w:rsid w:val="00F818ED"/>
    <w:rsid w:val="00F82E01"/>
    <w:rsid w:val="00F91E73"/>
    <w:rsid w:val="00F93D1E"/>
    <w:rsid w:val="00FA35C2"/>
    <w:rsid w:val="00FB37D0"/>
    <w:rsid w:val="00FC704E"/>
    <w:rsid w:val="00FD4627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9704C"/>
  </w:style>
  <w:style w:type="character" w:customStyle="1" w:styleId="eop">
    <w:name w:val="eop"/>
    <w:basedOn w:val="DefaultParagraphFont"/>
    <w:rsid w:val="0029704C"/>
  </w:style>
  <w:style w:type="paragraph" w:styleId="Header">
    <w:name w:val="header"/>
    <w:basedOn w:val="Normal"/>
    <w:link w:val="Head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4C"/>
  </w:style>
  <w:style w:type="paragraph" w:styleId="Footer">
    <w:name w:val="footer"/>
    <w:basedOn w:val="Normal"/>
    <w:link w:val="Foot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4C"/>
  </w:style>
  <w:style w:type="paragraph" w:styleId="PlainText">
    <w:name w:val="Plain Text"/>
    <w:basedOn w:val="Normal"/>
    <w:link w:val="PlainTextChar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9039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833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2C5C5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602F5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customStyle="1" w:styleId="Bodytextstyle">
    <w:name w:val="Body text style"/>
    <w:basedOn w:val="Normal"/>
    <w:uiPriority w:val="1"/>
    <w:rsid w:val="00E154DF"/>
    <w:pPr>
      <w:spacing w:before="200" w:after="200" w:line="240" w:lineRule="auto"/>
    </w:pPr>
    <w:rPr>
      <w:rFonts w:ascii="Tahoma" w:hAnsi="Tahoma" w:cs="Tahoma"/>
      <w:sz w:val="20"/>
      <w:szCs w:val="20"/>
    </w:rPr>
  </w:style>
  <w:style w:type="paragraph" w:customStyle="1" w:styleId="Tabletext">
    <w:name w:val="Table text"/>
    <w:basedOn w:val="Normal"/>
    <w:uiPriority w:val="1"/>
    <w:rsid w:val="007237CD"/>
    <w:pPr>
      <w:spacing w:before="60" w:after="60" w:line="240" w:lineRule="auto"/>
    </w:pPr>
    <w:rPr>
      <w:rFonts w:ascii="Tahoma" w:hAnsi="Tahoma" w:cs="Tahom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freedomofinformation@tfw.wal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co.org.uk/make-a-complaint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reedomofinformation@tfw.wales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eur03.safelinks.protection.outlook.com/?url=https://tfw.wales/about-us/sustainable-development/resources/ecology-and-biodiversity/biodiversity-action-plan&amp;data=05|02|Katy.Griffin@tfw.wales|20e59a51e355471a421f08dc296fd575|87dcd024301948269956ba76b2a04ff4|0|0|638430807497903772|Unknown|TWFpbGZsb3d8eyJWIjoiMC4wLjAwMDAiLCJQIjoiV2luMzIiLCJBTiI6Ik1haWwiLCJXVCI6Mn0=|0|||&amp;sdata=nX4YHTNjnNL2A5IwTjZpE41Ky/fdCQ/ipaRwjCycU5A=&amp;reserved=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ico.org.uk/make-a-complain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7" ma:contentTypeDescription="Create a new document." ma:contentTypeScope="" ma:versionID="b926329817589628c0d85a3f85467f8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d4d88abbb8a9bd8ee0097270681e17c5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6BAE25-4F56-4B44-B6D1-B0A972681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Katy Griffin</cp:lastModifiedBy>
  <cp:revision>7</cp:revision>
  <dcterms:created xsi:type="dcterms:W3CDTF">2024-02-09T09:06:00Z</dcterms:created>
  <dcterms:modified xsi:type="dcterms:W3CDTF">2024-02-22T11:20:00Z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