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287D93FB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25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09D939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65/24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7057B3AE" w:rsidR="0029704C" w:rsidRPr="003605D6" w:rsidRDefault="00BD0CFF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bookmarkStart w:id="0" w:name="_GoBack"/>
      <w:bookmarkEnd w:id="0"/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E800BC8" w14:textId="77777777" w:rsidR="00EC5B78" w:rsidRDefault="00EC5B78" w:rsidP="00EC5B78">
      <w:pPr>
        <w:pStyle w:val="PlainText"/>
      </w:pPr>
    </w:p>
    <w:p w14:paraId="7150E13A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Cyfanswm y gyllideb gymeradwy ar gyfer rhoi'r gorau i brydlesu Class 175.</w:t>
      </w:r>
    </w:p>
    <w:p w14:paraId="46DD6BA6" w14:textId="77777777" w:rsidR="00EC5B78" w:rsidRPr="00EC5B78" w:rsidRDefault="00EC5B78" w:rsidP="00EC5B78">
      <w:pPr>
        <w:pStyle w:val="PlainText"/>
        <w:rPr>
          <w:b/>
          <w:bCs/>
        </w:rPr>
      </w:pPr>
    </w:p>
    <w:p w14:paraId="3777A9A1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Y cyfanswm sydd wedi’i wario hyd yma ar y broses o roi'r gorau i brydlesu Class 175. Dylai hyn fod yn swm cyfanredol unrhyw wariant a phob gwariant ers dechrau'r broses o roi'r gorau i brydlesu.</w:t>
      </w:r>
    </w:p>
    <w:p w14:paraId="04B355AA" w14:textId="77777777" w:rsidR="00EC5B78" w:rsidRPr="00EC5B78" w:rsidRDefault="00EC5B78" w:rsidP="00EC5B78">
      <w:pPr>
        <w:pStyle w:val="PlainText"/>
        <w:rPr>
          <w:b/>
          <w:bCs/>
        </w:rPr>
      </w:pPr>
    </w:p>
    <w:p w14:paraId="6EEA1BDE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Prydles: O gyfanswm y gyllideb, faint sy’n cael ei briodoli i brydlesu cerbydau?</w:t>
      </w:r>
    </w:p>
    <w:p w14:paraId="263C0DEF" w14:textId="77777777" w:rsidR="00EC5B78" w:rsidRPr="00EC5B78" w:rsidRDefault="00EC5B78" w:rsidP="00EC5B78">
      <w:pPr>
        <w:pStyle w:val="PlainText"/>
        <w:rPr>
          <w:b/>
          <w:bCs/>
        </w:rPr>
      </w:pPr>
    </w:p>
    <w:p w14:paraId="68EF4E15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Deunyddiau a chymorth technegol: O’r gyllideb gyfan, faint sydd i’w briodoli i gymorth technegol a chostau deunyddiau. Rhannwch y costau hyn yn ddeunyddiau a chymorth.</w:t>
      </w:r>
    </w:p>
    <w:p w14:paraId="3F9367AD" w14:textId="77777777" w:rsidR="00EC5B78" w:rsidRPr="00EC5B78" w:rsidRDefault="00EC5B78" w:rsidP="00EC5B78">
      <w:pPr>
        <w:pStyle w:val="PlainText"/>
        <w:rPr>
          <w:b/>
          <w:bCs/>
        </w:rPr>
      </w:pPr>
    </w:p>
    <w:p w14:paraId="14FD2ED8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atgyweirio a chynnal a chadw: O’r gyllideb gyfan, faint sy’n gysylltiedig â chynnal a chadw, atgyweirio, ac adnewyddu’r trenau.</w:t>
      </w:r>
    </w:p>
    <w:p w14:paraId="4FFAC386" w14:textId="77777777" w:rsidR="00EC5B78" w:rsidRPr="00EC5B78" w:rsidRDefault="00EC5B78" w:rsidP="00EC5B78">
      <w:pPr>
        <w:pStyle w:val="PlainText"/>
        <w:rPr>
          <w:b/>
          <w:bCs/>
        </w:rPr>
      </w:pPr>
    </w:p>
    <w:p w14:paraId="622BC837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Cyfreithiol: Unrhyw ffioedd cyfreithiol neu gostau sy’n ymwneud â’r broses o roi'r gorau i brydlesu.</w:t>
      </w:r>
    </w:p>
    <w:p w14:paraId="44ACCC55" w14:textId="77777777" w:rsidR="00EC5B78" w:rsidRPr="00EC5B78" w:rsidRDefault="00EC5B78" w:rsidP="00EC5B78">
      <w:pPr>
        <w:pStyle w:val="PlainText"/>
        <w:rPr>
          <w:b/>
          <w:bCs/>
        </w:rPr>
      </w:pPr>
    </w:p>
    <w:p w14:paraId="3427B75D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Cludo: Ydy gyrwyr Trafnidiaeth Cymru yn cael eu defnyddio i symud trenau rhwng lleoliadau storio? Os ddim, pwy sy’n eu symud ar y rhwydwaith ac am ba gost?</w:t>
      </w:r>
    </w:p>
    <w:p w14:paraId="72B2467F" w14:textId="77777777" w:rsidR="00EC5B78" w:rsidRPr="00EC5B78" w:rsidRDefault="00EC5B78" w:rsidP="00EC5B78">
      <w:pPr>
        <w:pStyle w:val="PlainText"/>
        <w:rPr>
          <w:b/>
          <w:bCs/>
        </w:rPr>
      </w:pPr>
    </w:p>
    <w:p w14:paraId="3C475C90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Staff: Os nad yw wedi’i gynnwys uchod, faint sy’n gysylltiedig â threuliau staff sy’n rhan o’r broses o roi'r gorau i brydlesu.</w:t>
      </w:r>
    </w:p>
    <w:p w14:paraId="18B6E5D8" w14:textId="77777777" w:rsidR="00EC5B78" w:rsidRPr="00EC5B78" w:rsidRDefault="00EC5B78" w:rsidP="00EC5B78">
      <w:pPr>
        <w:pStyle w:val="PlainText"/>
        <w:rPr>
          <w:b/>
          <w:bCs/>
        </w:rPr>
      </w:pPr>
    </w:p>
    <w:p w14:paraId="3B9C47AA" w14:textId="77777777" w:rsidR="00EC5B78" w:rsidRPr="00EC5B78" w:rsidRDefault="00EC5B78" w:rsidP="00EC5B78">
      <w:pPr>
        <w:pStyle w:val="PlainText"/>
        <w:numPr>
          <w:ilvl w:val="0"/>
          <w:numId w:val="15"/>
        </w:numPr>
        <w:rPr>
          <w:b/>
          <w:bCs/>
        </w:rPr>
      </w:pPr>
      <w:r>
        <w:rPr>
          <w:b/>
        </w:rPr>
        <w:t>Costau Perthnasol Eraill: Unrhyw gostau eraill sy’n uniongyrchol gysylltiedig â’r broses o roi'r gorau i brydlesu trenau Class 175 nad ydynt yn dod o dan y categorïau uchod. O fewn hyn, nodwch ddyddiad a chost y gwaith adnewyddu diweddaraf ar gyfer y trenau.</w:t>
      </w: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32196DB8" w14:textId="77777777" w:rsidR="00EC5B78" w:rsidRDefault="00EC5B78" w:rsidP="00F91E73">
      <w:pPr>
        <w:spacing w:after="0" w:line="240" w:lineRule="auto"/>
        <w:rPr>
          <w:rFonts w:cstheme="minorHAnsi"/>
          <w:b/>
          <w:bCs/>
        </w:rPr>
      </w:pPr>
    </w:p>
    <w:p w14:paraId="18A9320B" w14:textId="0E67AD24" w:rsidR="00EC5B78" w:rsidRPr="00EC5B78" w:rsidRDefault="00EC5B78" w:rsidP="00EC5B78">
      <w:pPr>
        <w:spacing w:before="120" w:after="120"/>
        <w:rPr>
          <w:rFonts w:eastAsia="Times New Roman"/>
          <w:color w:val="212121"/>
          <w:u w:val="single"/>
        </w:rPr>
      </w:pPr>
      <w:r>
        <w:rPr>
          <w:color w:val="212121"/>
          <w:u w:val="single"/>
        </w:rPr>
        <w:t>Cwestiwn 1</w:t>
      </w:r>
    </w:p>
    <w:p w14:paraId="2DF19E26" w14:textId="77777777" w:rsidR="00EC5B78" w:rsidRPr="00EC5B78" w:rsidRDefault="00EC5B78" w:rsidP="00EC5B78">
      <w:pPr>
        <w:spacing w:after="120"/>
      </w:pPr>
      <w:r>
        <w:t>Bydd y gyllideb ailgyflenwi ar gyfer fflyd Class 175 Trafnidiaeth Cymru Cyfyngedig (TrC) a fydd yn cael ei dychwelyd i’r prydleswr tua £3.6m.</w:t>
      </w:r>
      <w:r>
        <w:rPr>
          <w:rStyle w:val="apple-converted-space"/>
        </w:rPr>
        <w:t> </w:t>
      </w:r>
      <w:r>
        <w:t>Mae’r ffigur hwn yn cynnwys rhwymedigaethau contract, offer, darnau sbâr a’r gofynion cynnal a chadw fel y nodir yng nghytundeb y brydles.</w:t>
      </w:r>
      <w:r>
        <w:rPr>
          <w:rStyle w:val="apple-converted-space"/>
        </w:rPr>
        <w:t> </w:t>
      </w:r>
    </w:p>
    <w:p w14:paraId="6FD7EDD2" w14:textId="77777777" w:rsidR="00EC5B78" w:rsidRPr="00EC5B78" w:rsidRDefault="00EC5B78" w:rsidP="00EC5B78">
      <w:pPr>
        <w:spacing w:after="120"/>
        <w:rPr>
          <w:u w:val="single"/>
        </w:rPr>
      </w:pPr>
      <w:r>
        <w:rPr>
          <w:u w:val="single"/>
        </w:rPr>
        <w:t>Cwestiwn 2</w:t>
      </w:r>
    </w:p>
    <w:p w14:paraId="04B75CF5" w14:textId="7ECBE9DE" w:rsidR="00EC5B78" w:rsidRPr="00EC5B78" w:rsidRDefault="00EC5B78" w:rsidP="00EC5B78">
      <w:pPr>
        <w:spacing w:after="120"/>
      </w:pPr>
      <w:r>
        <w:t>Mae’r broses ailgyflenwi yn dal i wynebu costau yn unol â chynllun y prosiect. Hyd yma, mae Rheilffyrdd Trafnidiaeth Cymru wedi talu anfonebau gwerth tua £1.4m.</w:t>
      </w:r>
    </w:p>
    <w:p w14:paraId="0734D512" w14:textId="77777777" w:rsidR="00EC5B78" w:rsidRPr="00EC5B78" w:rsidRDefault="00EC5B78" w:rsidP="00EC5B78">
      <w:pPr>
        <w:spacing w:after="120"/>
        <w:rPr>
          <w:u w:val="single"/>
        </w:rPr>
      </w:pPr>
      <w:r>
        <w:rPr>
          <w:u w:val="single"/>
        </w:rPr>
        <w:t>Cwestiwn 3</w:t>
      </w:r>
    </w:p>
    <w:p w14:paraId="09B1D2D9" w14:textId="0E0C4161" w:rsidR="00EC5B78" w:rsidRPr="00EC5B78" w:rsidRDefault="00EC5B78" w:rsidP="00EC5B78">
      <w:pPr>
        <w:spacing w:after="120"/>
      </w:pPr>
      <w:r>
        <w:lastRenderedPageBreak/>
        <w:t>Roedd y cyfnod a gyfrifwyd ar gyfer defnyddio’r cerbydau mewn gwasanaeth gweithredol hefyd yn cynnwys y cyfnod ar gyfer cwblhau’r gwaith ailgyflenwi’n ddiogel ac yn unol â’r brydles.</w:t>
      </w:r>
    </w:p>
    <w:p w14:paraId="7EA668A4" w14:textId="77777777" w:rsidR="00EC5B78" w:rsidRPr="00EC5B78" w:rsidRDefault="00EC5B78" w:rsidP="00EC5B78">
      <w:pPr>
        <w:spacing w:after="120"/>
        <w:rPr>
          <w:u w:val="single"/>
        </w:rPr>
      </w:pPr>
      <w:r>
        <w:rPr>
          <w:u w:val="single"/>
        </w:rPr>
        <w:t>Cwestiwn 4</w:t>
      </w:r>
    </w:p>
    <w:p w14:paraId="45F3660C" w14:textId="400443B6" w:rsidR="00EC5B78" w:rsidRPr="00EC5B78" w:rsidRDefault="00EC5B78" w:rsidP="00EC5B78">
      <w:pPr>
        <w:spacing w:after="120"/>
      </w:pPr>
      <w:r>
        <w:t>Disgwylir i ddeunyddiau penodol ar gyfer dychwelyd y fflyd i’r prydleswr fod oddeutu £7,500 y cerbyd. Roedd sefydliadau gwasanaethau cymorth eraill</w:t>
      </w:r>
      <w:r>
        <w:rPr>
          <w:rStyle w:val="apple-converted-space"/>
        </w:rPr>
        <w:t> </w:t>
      </w:r>
      <w:r>
        <w:t>yn cynnwys y</w:t>
      </w:r>
      <w:r>
        <w:rPr>
          <w:rStyle w:val="apple-converted-space"/>
        </w:rPr>
        <w:t> </w:t>
      </w:r>
      <w:r>
        <w:t>deunyddiau gofynnol yn eu ffioedd.</w:t>
      </w:r>
    </w:p>
    <w:p w14:paraId="31A44D1B" w14:textId="77777777" w:rsidR="00341A80" w:rsidRPr="00341A80" w:rsidRDefault="00341A80" w:rsidP="00341A80">
      <w:pPr>
        <w:spacing w:after="120"/>
        <w:rPr>
          <w:u w:val="single"/>
        </w:rPr>
      </w:pPr>
      <w:r>
        <w:rPr>
          <w:u w:val="single"/>
        </w:rPr>
        <w:t>Cwestiwn 5</w:t>
      </w:r>
    </w:p>
    <w:p w14:paraId="571D1B8C" w14:textId="3E17C9C5" w:rsidR="00EC5B78" w:rsidRPr="00341A80" w:rsidRDefault="00EC5B78" w:rsidP="00341A80">
      <w:pPr>
        <w:spacing w:after="120"/>
      </w:pPr>
      <w:r>
        <w:t>Nid yw’r cerbydau Class 175 wedi cael eu hadnewyddu’n benodol ar gyfer eu dychwelyd i’r prydleswr. Roedd gwaith cynnal a chadw ac atgyweirio trwm gweddilliol i’w gwblhau. Yn benodol ar gyfer dychwelyd y cerbydau, amcangyfrifir bod hyn tua £3.6m fel y nodir uchod.</w:t>
      </w:r>
    </w:p>
    <w:p w14:paraId="12B6B802" w14:textId="38225D13" w:rsidR="00EC5B78" w:rsidRPr="00341A80" w:rsidRDefault="00341A80" w:rsidP="00341A80">
      <w:pPr>
        <w:spacing w:before="120" w:after="120"/>
        <w:rPr>
          <w:rFonts w:eastAsia="Times New Roman"/>
          <w:color w:val="212121"/>
          <w:u w:val="single"/>
        </w:rPr>
      </w:pPr>
      <w:r>
        <w:rPr>
          <w:color w:val="212121"/>
          <w:u w:val="single"/>
        </w:rPr>
        <w:t>Cwestiwn 6</w:t>
      </w:r>
    </w:p>
    <w:p w14:paraId="06BDD8A8" w14:textId="77777777" w:rsidR="00EC5B78" w:rsidRPr="00341A80" w:rsidRDefault="00EC5B78" w:rsidP="00341A80">
      <w:pPr>
        <w:spacing w:after="120"/>
      </w:pPr>
      <w:r>
        <w:t>Nid oedd unrhyw gostau cyfreithiol ychwanegol yn benodol ar gyfer ailgyflenwi’r fflyd Class 175, y tu allan i’r trafodaethau prydlesu ar gyfer y fflyd. Sefydlwyd contractau ar gyfer y gwaith ailgyflenwi gydag adrannau masnachol, caffael a chyfreithiol mewnol.</w:t>
      </w:r>
    </w:p>
    <w:p w14:paraId="513FECEF" w14:textId="77777777" w:rsidR="00341A80" w:rsidRPr="00341A80" w:rsidRDefault="00341A80" w:rsidP="00341A80">
      <w:pPr>
        <w:spacing w:after="120"/>
        <w:rPr>
          <w:u w:val="single"/>
        </w:rPr>
      </w:pPr>
      <w:r>
        <w:rPr>
          <w:u w:val="single"/>
        </w:rPr>
        <w:t>Cwestiwn 7</w:t>
      </w:r>
    </w:p>
    <w:p w14:paraId="7F70F5D4" w14:textId="2992D359" w:rsidR="00EC5B78" w:rsidRDefault="00EC5B78" w:rsidP="00B10EE9">
      <w:pPr>
        <w:spacing w:after="120"/>
      </w:pPr>
      <w:r>
        <w:t>Roedd y cerbydau’n cael eu symud gan gyfuniad o staff Rheilffyrdd Trafnidiaeth Cymru a chyflenwyr arbenigol symud cerbyd rheilffyrdd a ffyrdd. Amcangyfrifir y bydd y costau ar gyfer symud cerbyd oddeutu £125,000, sy’n cyfateb i lai na £1,800 y cerbyd. Mae’r gost hon wedi’i chynnwys yn y gyllideb ailgyflenwi gyffredinol y sonnir amdani uchod.</w:t>
      </w:r>
    </w:p>
    <w:p w14:paraId="4DFF0212" w14:textId="4B28DC37" w:rsidR="00B10EE9" w:rsidRPr="00B10EE9" w:rsidRDefault="00B10EE9" w:rsidP="00B10EE9">
      <w:pPr>
        <w:spacing w:after="120"/>
        <w:rPr>
          <w:u w:val="single"/>
        </w:rPr>
      </w:pPr>
      <w:r>
        <w:rPr>
          <w:u w:val="single"/>
        </w:rPr>
        <w:t>Cwestiwn 8</w:t>
      </w:r>
    </w:p>
    <w:p w14:paraId="2B93C95E" w14:textId="77777777" w:rsidR="00EC5B78" w:rsidRPr="00B10EE9" w:rsidRDefault="00EC5B78" w:rsidP="00B10EE9">
      <w:pPr>
        <w:spacing w:after="120"/>
      </w:pPr>
      <w:r>
        <w:t>Ni ddefnyddiwyd costau staff ychwanegol Rheilffyrdd Trafnidiaeth Cymru i ddychwelyd cerbydau Class 175 i’r prydleswr. Defnyddiodd Rheilffyrdd Trafnidiaeth Cymru adnoddau presennol i reoli’r cyflenwyr a ddefnyddir i gyflawni’r gwaith a’r gwasanaethau gofynnol yn gyffredinol.</w:t>
      </w:r>
    </w:p>
    <w:p w14:paraId="5FA0DEA8" w14:textId="16CA5AA0" w:rsidR="00EC5B78" w:rsidRPr="00B10EE9" w:rsidRDefault="00B10EE9" w:rsidP="00B10EE9">
      <w:pPr>
        <w:spacing w:before="120" w:after="120"/>
        <w:rPr>
          <w:rFonts w:eastAsia="Times New Roman"/>
          <w:color w:val="212121"/>
          <w:u w:val="single"/>
        </w:rPr>
      </w:pPr>
      <w:r>
        <w:rPr>
          <w:color w:val="212121"/>
          <w:u w:val="single"/>
        </w:rPr>
        <w:t>Cwestiwn 9</w:t>
      </w:r>
    </w:p>
    <w:p w14:paraId="398AC61F" w14:textId="77777777" w:rsidR="00EC5B78" w:rsidRPr="00B10EE9" w:rsidRDefault="00EC5B78" w:rsidP="00B10EE9">
      <w:pPr>
        <w:spacing w:after="120"/>
      </w:pPr>
      <w:r>
        <w:t>Mae’r costau perthnasol wedi’u cofnodi uchod.</w:t>
      </w:r>
    </w:p>
    <w:p w14:paraId="635FC982" w14:textId="77777777" w:rsidR="00EC5B78" w:rsidRDefault="00EC5B78" w:rsidP="00F91E73">
      <w:pPr>
        <w:spacing w:after="0" w:line="240" w:lineRule="auto"/>
        <w:rPr>
          <w:rFonts w:cstheme="minorHAnsi"/>
          <w:b/>
          <w:bCs/>
        </w:rPr>
      </w:pP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C4"/>
    <w:multiLevelType w:val="multilevel"/>
    <w:tmpl w:val="EC60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2214"/>
    <w:multiLevelType w:val="multilevel"/>
    <w:tmpl w:val="327E7C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524"/>
    <w:multiLevelType w:val="multilevel"/>
    <w:tmpl w:val="29D67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C3D72"/>
    <w:multiLevelType w:val="multilevel"/>
    <w:tmpl w:val="E304B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D74"/>
    <w:multiLevelType w:val="hybridMultilevel"/>
    <w:tmpl w:val="500A1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4A50"/>
    <w:multiLevelType w:val="multilevel"/>
    <w:tmpl w:val="2FD0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64223F3D"/>
    <w:multiLevelType w:val="multilevel"/>
    <w:tmpl w:val="95E01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953"/>
    <w:multiLevelType w:val="multilevel"/>
    <w:tmpl w:val="4BB86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957A18"/>
    <w:multiLevelType w:val="multilevel"/>
    <w:tmpl w:val="7AB6F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D7749"/>
    <w:multiLevelType w:val="multilevel"/>
    <w:tmpl w:val="1FE60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0"/>
  </w:num>
  <w:num w:numId="5">
    <w:abstractNumId w:val="13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8"/>
  </w:num>
  <w:num w:numId="13">
    <w:abstractNumId w:val="7"/>
  </w:num>
  <w:num w:numId="14">
    <w:abstractNumId w:val="2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52B21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52B2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41A80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4F07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10EE9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0CFF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C5B78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EC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4</cp:revision>
  <dcterms:created xsi:type="dcterms:W3CDTF">2024-03-25T10:57:00Z</dcterms:created>
  <dcterms:modified xsi:type="dcterms:W3CDTF">2024-05-17T13:53:00Z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