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A14CCA8"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b/>
          <w:sz w:val="22"/>
        </w:rPr>
        <w:t>Dyddiad cyhoeddi:</w:t>
      </w:r>
      <w:r>
        <w:rPr>
          <w:rStyle w:val="normaltextrun"/>
          <w:rFonts w:ascii="Calibri" w:hAnsi="Calibri"/>
          <w:sz w:val="22"/>
        </w:rPr>
        <w:t xml:space="preserve"> 23 Medi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08A9F834"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Pr>
          <w:rStyle w:val="normaltextrun"/>
          <w:rFonts w:ascii="Calibri" w:hAnsi="Calibri"/>
          <w:b/>
          <w:color w:val="FF0000"/>
          <w:sz w:val="28"/>
        </w:rPr>
        <w:t>Cais Rhyddid Gwybodaeth 242/24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b/>
        </w:rPr>
        <w:t>Rydych chi wedi gofyn y canlynol i ni...</w:t>
      </w:r>
    </w:p>
    <w:p w14:paraId="38528602" w14:textId="43403BE3" w:rsidR="00104C3B" w:rsidRPr="003F4105" w:rsidRDefault="003F4105" w:rsidP="003F4105">
      <w:pPr>
        <w:pStyle w:val="paragraph"/>
        <w:textAlignment w:val="baseline"/>
        <w:rPr>
          <w:rFonts w:ascii="Calibri" w:hAnsi="Calibri" w:cs="Calibri"/>
          <w:b/>
          <w:bCs/>
          <w:sz w:val="22"/>
          <w:szCs w:val="22"/>
        </w:rPr>
      </w:pPr>
      <w:r>
        <w:rPr>
          <w:rFonts w:ascii="Calibri" w:hAnsi="Calibri"/>
          <w:b/>
          <w:sz w:val="22"/>
        </w:rPr>
        <w:t>A fyddech cystal â darparu copïau o’r deunyddiau hyfforddi a gynhyrchwyd fel rhan o’r gwaith diweddar o ehangu’r Parth Tocyn Cosb o fis Medi 2024 ymlaen.</w:t>
      </w:r>
    </w:p>
    <w:p w14:paraId="261EF0D5" w14:textId="6B0A78E7" w:rsidR="00AA63E7" w:rsidRPr="003F4105" w:rsidRDefault="00AA63E7" w:rsidP="156E0B0A">
      <w:pPr>
        <w:spacing w:after="0" w:line="240" w:lineRule="auto"/>
        <w:rPr>
          <w:b/>
          <w:bCs/>
        </w:rPr>
      </w:pPr>
      <w:r>
        <w:rPr>
          <w:b/>
        </w:rPr>
        <w:t>YMATEB</w:t>
      </w:r>
    </w:p>
    <w:p w14:paraId="6F91D7EC" w14:textId="77777777" w:rsidR="004B27E1" w:rsidRPr="003F4105" w:rsidRDefault="004B27E1" w:rsidP="156E0B0A">
      <w:pPr>
        <w:spacing w:after="0" w:line="240" w:lineRule="auto"/>
      </w:pPr>
    </w:p>
    <w:p w14:paraId="4481E7E8" w14:textId="77777777" w:rsidR="003F4105" w:rsidRPr="003F4105" w:rsidRDefault="003F4105" w:rsidP="003F4105">
      <w:pPr>
        <w:spacing w:after="0" w:line="240" w:lineRule="auto"/>
        <w:rPr>
          <w:rFonts w:cstheme="minorHAnsi"/>
        </w:rPr>
      </w:pPr>
      <w:r>
        <w:t>Nid oes unrhyw ddeunyddiau hyfforddi wedi’u cynhyrchu gan TrC ar gyfer rhoi Tocynnau Cosb.  Mae hyn oherwydd nad yw staff TrC yn gyfrifol am roi na chyhoeddi tocynnau cosb nac unrhyw apeliadau yn erbyn y tocynnau cosb dan sylw.</w:t>
      </w:r>
    </w:p>
    <w:p w14:paraId="46AA81DA" w14:textId="77777777" w:rsidR="003F4105" w:rsidRPr="003F4105" w:rsidRDefault="003F4105" w:rsidP="003F4105">
      <w:pPr>
        <w:spacing w:after="0" w:line="240" w:lineRule="auto"/>
        <w:rPr>
          <w:rFonts w:cstheme="minorHAnsi"/>
        </w:rPr>
      </w:pPr>
    </w:p>
    <w:p w14:paraId="1644687B" w14:textId="77777777" w:rsidR="003F4105" w:rsidRPr="003F4105" w:rsidRDefault="003F4105" w:rsidP="003F4105">
      <w:pPr>
        <w:spacing w:after="0" w:line="240" w:lineRule="auto"/>
        <w:rPr>
          <w:rFonts w:cstheme="minorHAnsi"/>
        </w:rPr>
      </w:pPr>
      <w:r>
        <w:t xml:space="preserve">Mae’r broses Tocynnau Cosb ei hun yn cael ei rheoli gan Transport </w:t>
      </w:r>
      <w:proofErr w:type="spellStart"/>
      <w:r>
        <w:t>Investigation</w:t>
      </w:r>
      <w:proofErr w:type="spellEnd"/>
      <w:r>
        <w:t xml:space="preserve"> </w:t>
      </w:r>
      <w:proofErr w:type="spellStart"/>
      <w:r>
        <w:t>Limited</w:t>
      </w:r>
      <w:proofErr w:type="spellEnd"/>
      <w:r>
        <w:t xml:space="preserve"> (</w:t>
      </w:r>
      <w:hyperlink r:id="rId10" w:history="1">
        <w:r>
          <w:rPr>
            <w:rStyle w:val="Hyperddolen"/>
          </w:rPr>
          <w:t>https://transportinvestigations.co.uk/</w:t>
        </w:r>
      </w:hyperlink>
      <w:r>
        <w:t>), yn unol â chytundeb contract parhaus.</w:t>
      </w:r>
    </w:p>
    <w:p w14:paraId="5968F9D1" w14:textId="77777777" w:rsidR="003F4105" w:rsidRPr="003F4105" w:rsidRDefault="003F4105" w:rsidP="003F4105">
      <w:pPr>
        <w:spacing w:after="0" w:line="240" w:lineRule="auto"/>
        <w:rPr>
          <w:rFonts w:cstheme="minorHAnsi"/>
        </w:rPr>
      </w:pPr>
    </w:p>
    <w:p w14:paraId="2B44BD8A" w14:textId="77777777" w:rsidR="003F4105" w:rsidRPr="003F4105" w:rsidRDefault="003F4105" w:rsidP="003F4105">
      <w:pPr>
        <w:spacing w:after="0" w:line="240" w:lineRule="auto"/>
        <w:rPr>
          <w:rFonts w:cstheme="minorHAnsi"/>
        </w:rPr>
      </w:pPr>
      <w:r>
        <w:t xml:space="preserve">Mae’r broses apeliadau yn cael ei rheoli gan </w:t>
      </w:r>
      <w:proofErr w:type="spellStart"/>
      <w:r>
        <w:t>Penalty</w:t>
      </w:r>
      <w:proofErr w:type="spellEnd"/>
      <w:r>
        <w:t xml:space="preserve"> Services </w:t>
      </w:r>
      <w:proofErr w:type="spellStart"/>
      <w:r>
        <w:t>Limited</w:t>
      </w:r>
      <w:proofErr w:type="spellEnd"/>
      <w:r>
        <w:t xml:space="preserve"> (</w:t>
      </w:r>
      <w:hyperlink r:id="rId11" w:history="1">
        <w:r>
          <w:rPr>
            <w:rStyle w:val="Hyperddolen"/>
          </w:rPr>
          <w:t>https://www.penaltyservices.co.uk/</w:t>
        </w:r>
      </w:hyperlink>
      <w:r>
        <w:t>), eto yn unol â chytundeb contract parhaus.</w:t>
      </w:r>
    </w:p>
    <w:p w14:paraId="07281F38" w14:textId="77777777" w:rsidR="003F4105" w:rsidRPr="003F4105" w:rsidRDefault="003F4105" w:rsidP="003F4105">
      <w:pPr>
        <w:spacing w:after="0" w:line="240" w:lineRule="auto"/>
        <w:rPr>
          <w:rFonts w:cstheme="minorHAnsi"/>
        </w:rPr>
      </w:pPr>
    </w:p>
    <w:p w14:paraId="294250C8" w14:textId="0930E6AC" w:rsidR="003F4105" w:rsidRPr="003F4105" w:rsidRDefault="003F4105" w:rsidP="003F4105">
      <w:pPr>
        <w:spacing w:after="0" w:line="240" w:lineRule="auto"/>
        <w:rPr>
          <w:rFonts w:cstheme="minorHAnsi"/>
        </w:rPr>
      </w:pPr>
      <w:r>
        <w:t>Mae hyn i gyd wedi’i nodi yn ein gwybodaeth Tocynnau Cosb ar-lein (</w:t>
      </w:r>
      <w:hyperlink r:id="rId12" w:history="1">
        <w:r>
          <w:rPr>
            <w:rStyle w:val="Hyperddolen"/>
          </w:rPr>
          <w:t>https://tfw.wales/ways-to-travel/rail/travel-information/penalty-fares</w:t>
        </w:r>
      </w:hyperlink>
      <w:r>
        <w:t>).</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661"/>
      </w:tblGrid>
      <w:tr w:rsidR="003F4105" w:rsidRPr="003F4105" w14:paraId="5FF7A5FF" w14:textId="77777777" w:rsidTr="003F4105">
        <w:trPr>
          <w:tblCellSpacing w:w="15" w:type="dxa"/>
        </w:trPr>
        <w:tc>
          <w:tcPr>
            <w:tcW w:w="0" w:type="auto"/>
            <w:tcBorders>
              <w:top w:val="nil"/>
              <w:left w:val="nil"/>
              <w:bottom w:val="nil"/>
              <w:right w:val="nil"/>
            </w:tcBorders>
            <w:hideMark/>
          </w:tcPr>
          <w:p w14:paraId="7021CD4A" w14:textId="3933E8BE" w:rsidR="003F4105" w:rsidRPr="003F4105" w:rsidRDefault="003F4105" w:rsidP="003F4105">
            <w:pPr>
              <w:spacing w:after="0" w:line="240" w:lineRule="auto"/>
              <w:rPr>
                <w:rFonts w:cstheme="minorHAnsi"/>
              </w:rPr>
            </w:pPr>
            <w:r>
              <w:rPr>
                <w:noProof/>
              </w:rPr>
              <w:drawing>
                <wp:inline distT="0" distB="0" distL="0" distR="0" wp14:anchorId="40136E79" wp14:editId="13B92AED">
                  <wp:extent cx="2286000" cy="1187450"/>
                  <wp:effectExtent l="0" t="0" r="0" b="0"/>
                  <wp:docPr id="938744037" name="Picture 3" descr="A black background with white text&#10;&#10;Description automatically generated">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44037" name="Picture 3" descr="A black background with white text&#10;&#10;Description automatically generated">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187450"/>
                          </a:xfrm>
                          <a:prstGeom prst="rect">
                            <a:avLst/>
                          </a:prstGeom>
                          <a:noFill/>
                          <a:ln>
                            <a:noFill/>
                          </a:ln>
                        </pic:spPr>
                      </pic:pic>
                    </a:graphicData>
                  </a:graphic>
                </wp:inline>
              </w:drawing>
            </w:r>
          </w:p>
        </w:tc>
        <w:tc>
          <w:tcPr>
            <w:tcW w:w="5000" w:type="pct"/>
            <w:tcBorders>
              <w:top w:val="nil"/>
              <w:left w:val="nil"/>
              <w:bottom w:val="nil"/>
              <w:right w:val="nil"/>
            </w:tcBorders>
            <w:hideMark/>
          </w:tcPr>
          <w:p w14:paraId="5BCD7868" w14:textId="4F874324" w:rsidR="003F4105" w:rsidRPr="003F4105" w:rsidRDefault="003F4105" w:rsidP="003F4105">
            <w:pPr>
              <w:spacing w:after="0" w:line="240" w:lineRule="auto"/>
              <w:rPr>
                <w:rFonts w:cstheme="minorHAnsi"/>
              </w:rPr>
            </w:pPr>
            <w:hyperlink r:id="rId15" w:tgtFrame="_blank" w:history="1">
              <w:r>
                <w:rPr>
                  <w:rStyle w:val="Hyperddolen"/>
                </w:rPr>
                <w:t>Tocynnau Cosb | Trafni</w:t>
              </w:r>
              <w:r>
                <w:rPr>
                  <w:rStyle w:val="Hyperddolen"/>
                </w:rPr>
                <w:t>d</w:t>
              </w:r>
              <w:r>
                <w:rPr>
                  <w:rStyle w:val="Hyperddolen"/>
                </w:rPr>
                <w:t>iaeth Cymru</w:t>
              </w:r>
            </w:hyperlink>
          </w:p>
          <w:p w14:paraId="7491169A" w14:textId="77777777" w:rsidR="003F4105" w:rsidRPr="003F4105" w:rsidRDefault="003F4105" w:rsidP="003F4105">
            <w:pPr>
              <w:spacing w:after="0" w:line="240" w:lineRule="auto"/>
              <w:rPr>
                <w:rFonts w:cstheme="minorHAnsi"/>
              </w:rPr>
            </w:pPr>
            <w:r>
              <w:t>Trafnidiaeth Cymru | Prynu Tocynnau Trên Rhad a Gwirio Amseroedd Trenau</w:t>
            </w:r>
          </w:p>
          <w:p w14:paraId="7D1D1691" w14:textId="77777777" w:rsidR="003F4105" w:rsidRPr="003F4105" w:rsidRDefault="003F4105" w:rsidP="003F4105">
            <w:pPr>
              <w:spacing w:after="0" w:line="240" w:lineRule="auto"/>
              <w:rPr>
                <w:rFonts w:cstheme="minorHAnsi"/>
              </w:rPr>
            </w:pPr>
            <w:r>
              <w:t>www.trc.cymru</w:t>
            </w:r>
          </w:p>
        </w:tc>
      </w:tr>
    </w:tbl>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t>Gobeithio y bydd y wybodaeth hon yn ddefnyddiol i chi.</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t xml:space="preserve">Yn gywir,  </w:t>
      </w:r>
    </w:p>
    <w:p w14:paraId="268B4940" w14:textId="16645FF7" w:rsidR="00F35E54" w:rsidRPr="003605D6" w:rsidRDefault="00F35E54" w:rsidP="00962DA6">
      <w:pPr>
        <w:spacing w:after="0"/>
        <w:rPr>
          <w:rFonts w:cstheme="minorHAnsi"/>
        </w:rPr>
      </w:pPr>
      <w:r>
        <w:t xml:space="preserve"> </w:t>
      </w:r>
    </w:p>
    <w:p w14:paraId="4885E00F" w14:textId="28259E09" w:rsidR="00F35E54" w:rsidRPr="00FA35C2" w:rsidRDefault="00F35E54" w:rsidP="00962DA6">
      <w:pPr>
        <w:spacing w:after="0"/>
        <w:rPr>
          <w:b/>
          <w:bCs/>
          <w:color w:val="FF0000"/>
          <w:sz w:val="28"/>
          <w:szCs w:val="28"/>
        </w:rPr>
      </w:pPr>
      <w:r>
        <w:rPr>
          <w:b/>
          <w:color w:val="FF0000"/>
          <w:sz w:val="28"/>
        </w:rPr>
        <w:t>Trafnidiaeth Cymru</w:t>
      </w:r>
    </w:p>
    <w:p w14:paraId="5FBC5D33" w14:textId="30795C04" w:rsidR="00F35E54" w:rsidRDefault="00F35E54"/>
    <w:p w14:paraId="6147402B" w14:textId="0AF87A91" w:rsidR="0013481D" w:rsidRPr="00E24CBC" w:rsidRDefault="00E24CBC">
      <w:r>
        <w:rPr>
          <w:b/>
          <w:bCs/>
          <w:noProof/>
        </w:rPr>
        <w:lastRenderedPageBreak/>
        <mc:AlternateContent>
          <mc:Choice Requires="wps">
            <w:drawing>
              <wp:anchor distT="45720" distB="45720" distL="114300" distR="114300" simplePos="0" relativeHeight="251659264" behindDoc="0" locked="0" layoutInCell="1" allowOverlap="1" wp14:anchorId="5AA82B04" wp14:editId="16D88619">
                <wp:simplePos x="0" y="0"/>
                <wp:positionH relativeFrom="margin">
                  <wp:posOffset>-88265</wp:posOffset>
                </wp:positionH>
                <wp:positionV relativeFrom="paragraph">
                  <wp:posOffset>241300</wp:posOffset>
                </wp:positionV>
                <wp:extent cx="5943600" cy="27279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2796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Pr>
                                <w:b/>
                              </w:rPr>
                              <w:t>Hawliau Apelio</w:t>
                            </w:r>
                          </w:p>
                          <w:p w14:paraId="1827398E" w14:textId="578008AA" w:rsidR="00E24CBC" w:rsidRPr="0013481D" w:rsidRDefault="00E24CBC" w:rsidP="00E24CBC">
                            <w:pPr>
                              <w:jc w:val="both"/>
                            </w:pPr>
                            <w:r>
                              <w:t xml:space="preserve">Os ydych chi’n anhapus â’r ffordd y cafodd eich cais ei drin a’ch bod chi’n dymuno gwneud cwyn neu wneud cais am adolygiad o’n penderfyniad, ysgrifennwch at y Pennaeth Rhyddid Gwybodaeth naill ai yn Trafnidiaeth Cymru, 3 Llys Cadwyn, Pontypridd, CF37 4TH neu </w:t>
                            </w:r>
                            <w:hyperlink r:id="rId16" w:history="1">
                              <w:r>
                                <w:rPr>
                                  <w:rStyle w:val="Hyperddolen"/>
                                  <w:color w:val="auto"/>
                                </w:rPr>
                                <w:t>freedomofinformation@tfw.wales</w:t>
                              </w:r>
                            </w:hyperlink>
                            <w:r>
                              <w:t xml:space="preserve">. Rhaid i’ch cais gael ei gyflwyno cyn pen 40 diwrnod gwaith ar ôl derbyn y llythyr hwn. Os nad ydych chi’n fodlon ar ganlyniad yr adolygiad mewnol, mae gennych hawl i wneud cais yn uniongyrchol i’r Comisiynydd Gwybodaeth am benderfyniad. </w:t>
                            </w:r>
                          </w:p>
                          <w:p w14:paraId="33D7B78E" w14:textId="77777777" w:rsidR="00E24CBC" w:rsidRPr="0013481D" w:rsidRDefault="00E24CBC" w:rsidP="00E24CBC">
                            <w:pPr>
                              <w:jc w:val="both"/>
                            </w:pPr>
                            <w:r>
                              <w:t xml:space="preserve">Gallwch chi gysylltu â’r Comisiynydd Gwybodaeth yn Swyddfa’r Comisiynydd Gwybodaeth, </w:t>
                            </w:r>
                            <w:proofErr w:type="spellStart"/>
                            <w:r>
                              <w:t>Wycliffe</w:t>
                            </w:r>
                            <w:proofErr w:type="spellEnd"/>
                            <w:r>
                              <w:t xml:space="preserve"> House, </w:t>
                            </w:r>
                            <w:proofErr w:type="spellStart"/>
                            <w:r>
                              <w:t>Water</w:t>
                            </w:r>
                            <w:proofErr w:type="spellEnd"/>
                            <w:r>
                              <w:t xml:space="preserve"> Lane, </w:t>
                            </w:r>
                            <w:proofErr w:type="spellStart"/>
                            <w:r>
                              <w:t>Wilmslow</w:t>
                            </w:r>
                            <w:proofErr w:type="spellEnd"/>
                            <w:r>
                              <w:t xml:space="preserve">, Cheshire, SK9 5AF neu gallwch chi gysylltu â Swyddfa’r Comisiynydd Gwybodaeth drwy adran ‘Gwneud Cwyn’ eu gwefan ar y ddolen hon: </w:t>
                            </w:r>
                            <w:hyperlink r:id="rId17" w:history="1">
                              <w:r>
                                <w:rPr>
                                  <w:rStyle w:val="Hyperddolen"/>
                                  <w:color w:val="auto"/>
                                </w:rPr>
                                <w:t>https:/ico.org.uk/make-a-complaint/</w:t>
                              </w:r>
                            </w:hyperlink>
                            <w:r>
                              <w:t xml:space="preserve"> </w:t>
                            </w:r>
                          </w:p>
                          <w:p w14:paraId="75A99A8C" w14:textId="77777777" w:rsidR="00E24CBC" w:rsidRDefault="00E24CBC" w:rsidP="00E24CBC">
                            <w:pPr>
                              <w:jc w:val="both"/>
                            </w:pPr>
                            <w:r>
                              <w:t>Yr adran berthnasol i’w dewis fydd "Gwybodaeth Swyddogol neu Gyhoeddus".</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6.95pt;margin-top:19pt;width:468pt;height:21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">
                <v:textbox>
                  <w:txbxContent>
                    <w:p w14:paraId="55116A48" w14:textId="4AA7B076" w:rsidR="00E24CBC" w:rsidRPr="0013481D" w:rsidRDefault="00E24CBC" w:rsidP="00E24CBC">
                      <w:pPr>
                        <w:rPr>
                          <w:b/>
                          <w:bCs/>
                        </w:rPr>
                      </w:pPr>
                      <w:r>
                        <w:rPr>
                          <w:b/>
                        </w:rPr>
                        <w:t>Hawliau Apelio</w:t>
                      </w:r>
                    </w:p>
                    <w:p w14:paraId="1827398E" w14:textId="578008AA" w:rsidR="00E24CBC" w:rsidRPr="0013481D" w:rsidRDefault="00E24CBC" w:rsidP="00E24CBC">
                      <w:pPr>
                        <w:jc w:val="both"/>
                      </w:pPr>
                      <w:r>
                        <w:t xml:space="preserve">Os ydych chi’n anhapus â’r ffordd y cafodd eich cais ei drin a’ch bod chi’n dymuno gwneud cwyn neu wneud cais am adolygiad o’n penderfyniad, ysgrifennwch at y Pennaeth Rhyddid Gwybodaeth naill ai yn Trafnidiaeth Cymru, 3 Llys Cadwyn, Pontypridd, CF37 4TH neu </w:t>
                      </w:r>
                      <w:hyperlink r:id="rId18" w:history="1">
                        <w:r>
                          <w:rPr>
                            <w:rStyle w:val="Hyperddolen"/>
                            <w:color w:val="auto"/>
                          </w:rPr>
                          <w:t>freedomofinformation@tfw.wales</w:t>
                        </w:r>
                      </w:hyperlink>
                      <w:r>
                        <w:t xml:space="preserve">. Rhaid i’ch cais gael ei gyflwyno cyn pen 40 diwrnod gwaith ar ôl derbyn y llythyr hwn. Os nad ydych chi’n fodlon ar ganlyniad yr adolygiad mewnol, mae gennych hawl i wneud cais yn uniongyrchol i’r Comisiynydd Gwybodaeth am benderfyniad. </w:t>
                      </w:r>
                    </w:p>
                    <w:p w14:paraId="33D7B78E" w14:textId="77777777" w:rsidR="00E24CBC" w:rsidRPr="0013481D" w:rsidRDefault="00E24CBC" w:rsidP="00E24CBC">
                      <w:pPr>
                        <w:jc w:val="both"/>
                      </w:pPr>
                      <w:r>
                        <w:t xml:space="preserve">Gallwch chi gysylltu â’r Comisiynydd Gwybodaeth yn Swyddfa’r Comisiynydd Gwybodaeth, </w:t>
                      </w:r>
                      <w:proofErr w:type="spellStart"/>
                      <w:r>
                        <w:t>Wycliffe</w:t>
                      </w:r>
                      <w:proofErr w:type="spellEnd"/>
                      <w:r>
                        <w:t xml:space="preserve"> House, </w:t>
                      </w:r>
                      <w:proofErr w:type="spellStart"/>
                      <w:r>
                        <w:t>Water</w:t>
                      </w:r>
                      <w:proofErr w:type="spellEnd"/>
                      <w:r>
                        <w:t xml:space="preserve"> Lane, </w:t>
                      </w:r>
                      <w:proofErr w:type="spellStart"/>
                      <w:r>
                        <w:t>Wilmslow</w:t>
                      </w:r>
                      <w:proofErr w:type="spellEnd"/>
                      <w:r>
                        <w:t xml:space="preserve">, Cheshire, SK9 5AF neu gallwch chi gysylltu â Swyddfa’r Comisiynydd Gwybodaeth drwy adran ‘Gwneud Cwyn’ eu gwefan ar y ddolen hon: </w:t>
                      </w:r>
                      <w:hyperlink r:id="rId19" w:history="1">
                        <w:r>
                          <w:rPr>
                            <w:rStyle w:val="Hyperddolen"/>
                            <w:color w:val="auto"/>
                          </w:rPr>
                          <w:t>https:/ico.org.uk/make-a-complaint/</w:t>
                        </w:r>
                      </w:hyperlink>
                      <w:r>
                        <w:t xml:space="preserve"> </w:t>
                      </w:r>
                    </w:p>
                    <w:p w14:paraId="75A99A8C" w14:textId="77777777" w:rsidR="00E24CBC" w:rsidRDefault="00E24CBC" w:rsidP="00E24CBC">
                      <w:pPr>
                        <w:jc w:val="both"/>
                      </w:pPr>
                      <w:r>
                        <w:t>Yr adran berthnasol i’w dewis fydd "Gwybodaeth Swyddogol neu Gyhoeddus".</w:t>
                      </w:r>
                    </w:p>
                    <w:p w14:paraId="1A7C7971" w14:textId="326E405B" w:rsidR="00E24CBC" w:rsidRDefault="00E24CBC"/>
                  </w:txbxContent>
                </v:textbox>
                <w10:wrap type="square" anchorx="margin"/>
              </v:shape>
            </w:pict>
          </mc:Fallback>
        </mc:AlternateContent>
      </w:r>
    </w:p>
    <w:sectPr w:rsidR="0013481D" w:rsidRPr="00E24CB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Pennyn"/>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3F4105"/>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42B79"/>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5C16"/>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36E64"/>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fontParagraffDdiofyn"/>
    <w:rsid w:val="0029704C"/>
  </w:style>
  <w:style w:type="character" w:customStyle="1" w:styleId="eop">
    <w:name w:val="eop"/>
    <w:basedOn w:val="FfontParagraffDdiofyn"/>
    <w:rsid w:val="0029704C"/>
  </w:style>
  <w:style w:type="paragraph" w:styleId="Pennyn">
    <w:name w:val="header"/>
    <w:basedOn w:val="Normal"/>
    <w:link w:val="PennynNod"/>
    <w:uiPriority w:val="99"/>
    <w:unhideWhenUsed/>
    <w:rsid w:val="0029704C"/>
    <w:pPr>
      <w:tabs>
        <w:tab w:val="center" w:pos="4513"/>
        <w:tab w:val="right" w:pos="9026"/>
      </w:tabs>
      <w:spacing w:after="0" w:line="240" w:lineRule="auto"/>
    </w:pPr>
  </w:style>
  <w:style w:type="character" w:customStyle="1" w:styleId="PennynNod">
    <w:name w:val="Pennyn Nod"/>
    <w:basedOn w:val="FfontParagraffDdiofyn"/>
    <w:link w:val="Pennyn"/>
    <w:uiPriority w:val="99"/>
    <w:rsid w:val="0029704C"/>
  </w:style>
  <w:style w:type="paragraph" w:styleId="Troedyn">
    <w:name w:val="footer"/>
    <w:basedOn w:val="Normal"/>
    <w:link w:val="TroedynNod"/>
    <w:uiPriority w:val="99"/>
    <w:unhideWhenUsed/>
    <w:rsid w:val="0029704C"/>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29704C"/>
  </w:style>
  <w:style w:type="paragraph" w:styleId="TestunPlaen">
    <w:name w:val="Plain Text"/>
    <w:basedOn w:val="Normal"/>
    <w:link w:val="TestunPlaenNod"/>
    <w:uiPriority w:val="99"/>
    <w:unhideWhenUsed/>
    <w:rsid w:val="00590396"/>
    <w:pPr>
      <w:spacing w:after="0" w:line="240" w:lineRule="auto"/>
    </w:pPr>
    <w:rPr>
      <w:rFonts w:ascii="Calibri" w:hAnsi="Calibri" w:cs="Calibri"/>
    </w:rPr>
  </w:style>
  <w:style w:type="character" w:customStyle="1" w:styleId="TestunPlaenNod">
    <w:name w:val="Testun Plaen Nod"/>
    <w:basedOn w:val="FfontParagraffDdiofyn"/>
    <w:link w:val="TestunPlaen"/>
    <w:uiPriority w:val="99"/>
    <w:rsid w:val="00590396"/>
    <w:rPr>
      <w:rFonts w:ascii="Calibri" w:hAnsi="Calibri" w:cs="Calibri"/>
    </w:rPr>
  </w:style>
  <w:style w:type="character" w:styleId="Hyperddolen">
    <w:name w:val="Hyperlink"/>
    <w:basedOn w:val="FfontParagraffDdiofyn"/>
    <w:uiPriority w:val="99"/>
    <w:unhideWhenUsed/>
    <w:rsid w:val="0008339D"/>
    <w:rPr>
      <w:color w:val="0563C1"/>
      <w:u w:val="single"/>
    </w:rPr>
  </w:style>
  <w:style w:type="paragraph" w:styleId="ParagraffRhestr">
    <w:name w:val="List Paragraph"/>
    <w:basedOn w:val="Normal"/>
    <w:uiPriority w:val="34"/>
    <w:qFormat/>
    <w:rsid w:val="0008339D"/>
    <w:pPr>
      <w:spacing w:after="0" w:line="240" w:lineRule="auto"/>
      <w:ind w:left="720"/>
    </w:pPr>
    <w:rPr>
      <w:rFonts w:ascii="Calibri" w:hAnsi="Calibri" w:cs="Calibri"/>
    </w:rPr>
  </w:style>
  <w:style w:type="character" w:styleId="SnhebeiDdatrys">
    <w:name w:val="Unresolved Mention"/>
    <w:basedOn w:val="FfontParagraffDdiofyn"/>
    <w:uiPriority w:val="99"/>
    <w:semiHidden/>
    <w:unhideWhenUsed/>
    <w:rsid w:val="008943C9"/>
    <w:rPr>
      <w:color w:val="605E5C"/>
      <w:shd w:val="clear" w:color="auto" w:fill="E1DFDD"/>
    </w:rPr>
  </w:style>
  <w:style w:type="character" w:styleId="HyperddolenWediiDilyn">
    <w:name w:val="FollowedHyperlink"/>
    <w:basedOn w:val="FfontParagraffDdiofyn"/>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GridTabl">
    <w:name w:val="Table Grid"/>
    <w:basedOn w:val="Tabl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Gwe">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06869724">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12600356">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4024116">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43189541">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tfw.wales/ways-to-travel/rail/travel-information/penalty-fares&amp;data=05|02|Freedomofinformation%40tfw.wales|e0968582a47347fd6cfd08dcdba6a866|87dcd024301948269956ba76b2a04ff4|0|0|638626756048797618|Unknown|TWFpbGZsb3d8eyJWIjoiMC4wLjAwMDAiLCJQIjoiV2luMzIiLCJBTiI6Ik1haWwiLCJXVCI6Mn0=|0|||&amp;sdata=P6s+2xM3DyuNtoUkPB8F6UzAjoMDhExqZCuPsi7K+3M=&amp;reserved=0" TargetMode="External"/><Relationship Id="rId18" Type="http://schemas.openxmlformats.org/officeDocument/2006/relationships/hyperlink" Target="mailto:freedomofinformation@tfw.w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rc.cymru/ffyrdd-o-deithio/rheilffordd/gwybodaeth-deithio/tocynnau-cosb?_gl=1*ug3ufw*_ga*MTIyNjM2MDQ5OS4xNzMyMTE2MTk1*_ga_E6B8G8EZ88*MTczMjExNjE5NC4xLjEuMTczMjExNjE5NC42MC4wLjA."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freedomofinformation@tfw.wa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www.penaltyservices.co.uk/&amp;data=05|02|Freedomofinformation%40tfw.wales|e0968582a47347fd6cfd08dcdba6a866|87dcd024301948269956ba76b2a04ff4|0|0|638626756048756683|Unknown|TWFpbGZsb3d8eyJWIjoiMC4wLjAwMDAiLCJQIjoiV2luMzIiLCJBTiI6Ik1haWwiLCJXVCI6Mn0=|0|||&amp;sdata=TMTewvmpgUBhSlyhT3/Yh/bs4W2eBe5zuKu9faZUEWM=&amp;reserved=0" TargetMode="External"/><Relationship Id="rId5" Type="http://schemas.openxmlformats.org/officeDocument/2006/relationships/styles" Target="styles.xml"/><Relationship Id="rId15" Type="http://schemas.openxmlformats.org/officeDocument/2006/relationships/hyperlink" Target="https://trc.cymru/ffyrdd-o-deithio/rheilffordd/gwybodaeth-deithio/tocynnau-cosb?_gl=1*ug3ufw*_ga*MTIyNjM2MDQ5OS4xNzMyMTE2MTk1*_ga_E6B8G8EZ88*MTczMjExNjE5NC4xLjEuMTczMjExNjE5NC42MC4wLjA." TargetMode="External"/><Relationship Id="rId10" Type="http://schemas.openxmlformats.org/officeDocument/2006/relationships/hyperlink" Target="https://eur03.safelinks.protection.outlook.com/?url=https://transportinvestigations.co.uk/&amp;data=05|02|Freedomofinformation%40tfw.wales|e0968582a47347fd6cfd08dcdba6a866|87dcd024301948269956ba76b2a04ff4|0|0|638626756048735466|Unknown|TWFpbGZsb3d8eyJWIjoiMC4wLjAwMDAiLCJQIjoiV2luMzIiLCJBTiI6Ik1haWwiLCJXVCI6Mn0=|0|||&amp;sdata=3+oPIbin6mJ5Ayck+gyENNJOS23Dbs3+dYl7+FIolu4=&amp;reserved=0"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Morgan Jones</cp:lastModifiedBy>
  <cp:revision>4</cp:revision>
  <dcterms:created xsi:type="dcterms:W3CDTF">2024-09-23T08:15:00Z</dcterms:created>
  <dcterms:modified xsi:type="dcterms:W3CDTF">2024-11-20T15:23:00Z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