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E0F19FB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8 Awst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8895F5E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189/25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D2429E6" w14:textId="77777777" w:rsidR="00F03A27" w:rsidRDefault="00F03A27" w:rsidP="00F03A27">
      <w:pPr>
        <w:spacing w:after="0" w:line="240" w:lineRule="auto"/>
        <w:rPr>
          <w:b/>
          <w:bCs/>
        </w:rPr>
      </w:pPr>
      <w:r>
        <w:rPr>
          <w:b/>
        </w:rPr>
        <w:t xml:space="preserve">Mae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wedi gosod rampiau cadeiriau olwyn yn Amwythig ar gyfer trenau 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 197. Mae'r rampiau ar gyfer trenau 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 196 yn union yr un fath, ac mae'r rampiau wedi cael eu gosod ochr yn ochr.</w:t>
      </w:r>
      <w:r>
        <w:rPr>
          <w:b/>
        </w:rPr>
        <w:br/>
        <w:t xml:space="preserve">Rhif y model ar y rampiau â'r marc 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 196, a'r rampiau â'r marc 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 197, yw RR.1725.808.03.</w:t>
      </w:r>
    </w:p>
    <w:p w14:paraId="48227BD8" w14:textId="0847F137" w:rsidR="00F447A7" w:rsidRDefault="00F03A27" w:rsidP="00F03A27">
      <w:pPr>
        <w:rPr>
          <w:b/>
          <w:bCs/>
        </w:rPr>
      </w:pPr>
      <w:r>
        <w:rPr>
          <w:b/>
        </w:rPr>
        <w:br/>
        <w:t xml:space="preserve">1. A fyddech cystal â darparu'r ohebiaeth rhwng Trafnidiaeth Cymru a West </w:t>
      </w:r>
      <w:proofErr w:type="spellStart"/>
      <w:r>
        <w:rPr>
          <w:b/>
        </w:rPr>
        <w:t>Midlands</w:t>
      </w:r>
      <w:proofErr w:type="spellEnd"/>
      <w:r>
        <w:rPr>
          <w:b/>
        </w:rPr>
        <w:t xml:space="preserve"> Trains y cyfeiriwyd ati gan adran Cysylltiadau Cwsmeriaid Trafnidiaeth Cymru, lle'r oedd West </w:t>
      </w:r>
      <w:proofErr w:type="spellStart"/>
      <w:r>
        <w:rPr>
          <w:b/>
        </w:rPr>
        <w:t>Midlands</w:t>
      </w:r>
      <w:proofErr w:type="spellEnd"/>
      <w:r>
        <w:rPr>
          <w:b/>
        </w:rPr>
        <w:t xml:space="preserve"> yn gwrthod caniatáu i'r rampiau a oedd eisoes wedi cael eu gosod gael eu defnyddio ar gyfer gwasanaethau Trafnidiaeth Cymru?</w:t>
      </w:r>
      <w:r>
        <w:rPr>
          <w:b/>
        </w:rPr>
        <w:br/>
        <w:t>2. Rhowch gost pob ramp, gan gynnwys y costau gosod a chostau’r ffitiadau.</w:t>
      </w:r>
      <w:r>
        <w:rPr>
          <w:b/>
        </w:rPr>
        <w:br/>
        <w:t xml:space="preserve">3. A fyddech cystal â darparu copi o'r holl ohebiaeth i </w:t>
      </w:r>
      <w:proofErr w:type="spellStart"/>
      <w:r>
        <w:rPr>
          <w:b/>
        </w:rPr>
        <w:t>uwchgyfeirio’r</w:t>
      </w:r>
      <w:proofErr w:type="spellEnd"/>
      <w:r>
        <w:rPr>
          <w:b/>
        </w:rPr>
        <w:t xml:space="preserve"> mater ynghylch dyblygu rampiau, gan gynnwys rhan uwch reolwyr yn y penderfyniad i ddyblygu'r gwaith o osod rampiau yn hytrach na lleihau'r costau i'r diwydiant drwy osod un ramp math RR.1725.808.03 ar bob platfform?</w:t>
      </w:r>
      <w:r>
        <w:rPr>
          <w:b/>
        </w:rPr>
        <w:br/>
        <w:t xml:space="preserve">4. Rhowch fanylion lleoliadau eraill lle mae’r gwaith o osod rampiau i gadeiriau olwyn wedi cael ei ddyblygu yn hytrach na defnyddio rampiau RR.1725.808.03 sydd eisoes wedi’u gosod, fel rhan o'r broses o gyflwyno trenau </w:t>
      </w:r>
      <w:proofErr w:type="spellStart"/>
      <w:r>
        <w:rPr>
          <w:b/>
        </w:rPr>
        <w:t>Class</w:t>
      </w:r>
      <w:proofErr w:type="spellEnd"/>
      <w:r>
        <w:rPr>
          <w:b/>
        </w:rPr>
        <w:t xml:space="preserve"> 197.</w:t>
      </w: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7AD4D591" w14:textId="77777777" w:rsidR="00F03A27" w:rsidRDefault="00F03A27" w:rsidP="156E0B0A">
      <w:pPr>
        <w:spacing w:after="0" w:line="240" w:lineRule="auto"/>
        <w:rPr>
          <w:b/>
          <w:bCs/>
        </w:rPr>
      </w:pPr>
    </w:p>
    <w:p w14:paraId="1CCCCC97" w14:textId="79C0C4F6" w:rsidR="00F03A27" w:rsidRDefault="00F03A27" w:rsidP="156E0B0A">
      <w:pPr>
        <w:spacing w:after="0" w:line="240" w:lineRule="auto"/>
        <w:rPr>
          <w:u w:val="single"/>
        </w:rPr>
      </w:pPr>
      <w:r>
        <w:rPr>
          <w:u w:val="single"/>
        </w:rPr>
        <w:t xml:space="preserve">Cwestiwn 1 </w:t>
      </w:r>
    </w:p>
    <w:p w14:paraId="064FF47B" w14:textId="77777777" w:rsidR="008604F8" w:rsidRDefault="008604F8" w:rsidP="156E0B0A">
      <w:pPr>
        <w:spacing w:after="0" w:line="240" w:lineRule="auto"/>
        <w:rPr>
          <w:u w:val="single"/>
        </w:rPr>
      </w:pPr>
    </w:p>
    <w:p w14:paraId="27CAF051" w14:textId="77777777" w:rsidR="00AD3D29" w:rsidRDefault="00A1759B" w:rsidP="156E0B0A">
      <w:pPr>
        <w:spacing w:after="0" w:line="240" w:lineRule="auto"/>
      </w:pPr>
      <w:r>
        <w:t xml:space="preserve">Mae'r ohebiaeth rhwng y tîm cyfryngau cymdeithasol a rheolwr yr orsaf yn Amwythig wedi’i hatodi. </w:t>
      </w:r>
    </w:p>
    <w:p w14:paraId="45A7B045" w14:textId="77777777" w:rsidR="00AD3D29" w:rsidRDefault="00AD3D29" w:rsidP="156E0B0A">
      <w:pPr>
        <w:spacing w:after="0" w:line="240" w:lineRule="auto"/>
      </w:pPr>
    </w:p>
    <w:p w14:paraId="76B79E13" w14:textId="731E91DD" w:rsidR="00694B7B" w:rsidRDefault="00AD3D29" w:rsidP="156E0B0A">
      <w:pPr>
        <w:spacing w:after="0" w:line="240" w:lineRule="auto"/>
      </w:pPr>
      <w:r>
        <w:t xml:space="preserve">Mae rhywfaint o wybodaeth wedi cael ei hepgor oherwydd ei bod yn wybodaeth </w:t>
      </w:r>
      <w:proofErr w:type="spellStart"/>
      <w:r>
        <w:t>esempt</w:t>
      </w:r>
      <w:proofErr w:type="spellEnd"/>
      <w:r>
        <w:t xml:space="preserve"> yn rhinwedd yr </w:t>
      </w:r>
      <w:proofErr w:type="spellStart"/>
      <w:r>
        <w:t>esemptiad</w:t>
      </w:r>
      <w:proofErr w:type="spellEnd"/>
      <w:r>
        <w:t xml:space="preserve"> canlynol –</w:t>
      </w:r>
    </w:p>
    <w:p w14:paraId="7586D5FC" w14:textId="77777777" w:rsidR="00694B7B" w:rsidRDefault="00694B7B" w:rsidP="156E0B0A">
      <w:pPr>
        <w:spacing w:after="0" w:line="240" w:lineRule="auto"/>
      </w:pPr>
    </w:p>
    <w:p w14:paraId="621C0A68" w14:textId="77777777" w:rsidR="00D226C0" w:rsidRPr="001F4561" w:rsidRDefault="00D226C0" w:rsidP="00D226C0">
      <w:pPr>
        <w:spacing w:after="0"/>
        <w:rPr>
          <w:rFonts w:cstheme="minorHAnsi"/>
          <w:b/>
          <w:bCs/>
        </w:rPr>
      </w:pPr>
      <w:r>
        <w:rPr>
          <w:b/>
        </w:rPr>
        <w:t>Adran 40(2) – Gwybodaeth Bersonol</w:t>
      </w:r>
    </w:p>
    <w:p w14:paraId="68C8154A" w14:textId="77777777" w:rsidR="00D226C0" w:rsidRDefault="00D226C0" w:rsidP="00D226C0">
      <w:pPr>
        <w:spacing w:after="0"/>
        <w:rPr>
          <w:rFonts w:cstheme="minorHAnsi"/>
        </w:rPr>
      </w:pPr>
    </w:p>
    <w:p w14:paraId="5EE5AC18" w14:textId="77777777" w:rsidR="00D226C0" w:rsidRDefault="00D226C0" w:rsidP="00D226C0">
      <w:pPr>
        <w:spacing w:after="0"/>
        <w:rPr>
          <w:rFonts w:cstheme="minorHAnsi"/>
        </w:rPr>
      </w:pPr>
      <w:r>
        <w:t xml:space="preserve">O dan yr </w:t>
      </w:r>
      <w:proofErr w:type="spellStart"/>
      <w:r>
        <w:t>esemptiad</w:t>
      </w:r>
      <w:proofErr w:type="spellEnd"/>
      <w:r>
        <w:t xml:space="preserve"> hwn, ni ddylid datgelu data personol pe byddai hyn yn mynd yn groes i’r egwyddorion diogelu data.</w:t>
      </w:r>
    </w:p>
    <w:p w14:paraId="2C080A5C" w14:textId="77777777" w:rsidR="00D226C0" w:rsidRDefault="00D226C0" w:rsidP="00D226C0">
      <w:pPr>
        <w:spacing w:after="0"/>
        <w:rPr>
          <w:rFonts w:cstheme="minorHAnsi"/>
        </w:rPr>
      </w:pPr>
    </w:p>
    <w:p w14:paraId="4B8225A4" w14:textId="77777777" w:rsidR="00D226C0" w:rsidRDefault="00D226C0" w:rsidP="00D226C0">
      <w:pPr>
        <w:spacing w:after="0"/>
        <w:rPr>
          <w:rFonts w:cstheme="minorHAnsi"/>
        </w:rPr>
      </w:pPr>
      <w:r>
        <w:t xml:space="preserve">Diffinnir data personol gan y Rheoliad Cyffredinol ar Ddiogelu Data (GDPR) fel a ganlyn - </w:t>
      </w:r>
    </w:p>
    <w:p w14:paraId="5AEAE396" w14:textId="77777777" w:rsidR="00D226C0" w:rsidRDefault="00D226C0" w:rsidP="00D226C0">
      <w:pPr>
        <w:spacing w:after="0"/>
        <w:rPr>
          <w:rFonts w:cstheme="minorHAnsi"/>
        </w:rPr>
      </w:pPr>
    </w:p>
    <w:p w14:paraId="0029D7A0" w14:textId="77777777" w:rsidR="00D226C0" w:rsidRDefault="00D226C0" w:rsidP="00D226C0">
      <w:pPr>
        <w:spacing w:after="0"/>
        <w:rPr>
          <w:rFonts w:cstheme="minorHAnsi"/>
          <w:b/>
          <w:bCs/>
          <w:color w:val="000000"/>
          <w:shd w:val="clear" w:color="auto" w:fill="F7F3F0"/>
        </w:rPr>
      </w:pPr>
      <w:r>
        <w:rPr>
          <w:b/>
        </w:rPr>
        <w:t xml:space="preserve"> </w:t>
      </w:r>
      <w:r>
        <w:rPr>
          <w:b/>
          <w:color w:val="000000"/>
          <w:highlight w:val="lightGray"/>
          <w:shd w:val="clear" w:color="auto" w:fill="F7F3F0"/>
        </w:rPr>
        <w:t>“Mae 'data personol' yn golygu unrhyw wybodaeth sy’n ymwneud â bod dynol a gaiff ei adnabod neu y gellir ei adnabod (‘gwrthrych y data.’); ystyr bod dynol y gellir ei adnabod yw un y gellir ei adnabod, yn uniongyrchol neu’n anuniongyrchol, yn benodol drwy gyfeirio at fanylion adnabod fel enw, rhif adnabod, data lleoliad, manylion adnabod ar-lein neu un neu fwy o ffactorau sy’n benodol i hunaniaeth ffisegol, ffisiolegol, genetig, meddyliol, economaidd, diwylliannol neu gymdeithasol y bod dynol dan sylw”.</w:t>
      </w:r>
    </w:p>
    <w:p w14:paraId="6041B857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111111"/>
          <w:sz w:val="21"/>
          <w:szCs w:val="21"/>
        </w:rPr>
      </w:pPr>
    </w:p>
    <w:p w14:paraId="5449C9AE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b w:val="0"/>
          <w:bCs w:val="0"/>
          <w:color w:val="111111"/>
          <w:sz w:val="21"/>
          <w:szCs w:val="21"/>
        </w:rPr>
      </w:pPr>
      <w:r>
        <w:rPr>
          <w:rStyle w:val="Strong"/>
          <w:rFonts w:ascii="Arial" w:hAnsi="Arial"/>
          <w:color w:val="111111"/>
          <w:sz w:val="21"/>
        </w:rPr>
        <w:t>Mae canllawiau Swyddfa'r Comisiynydd Gwybodaeth yn datgan y canlynol –</w:t>
      </w:r>
    </w:p>
    <w:p w14:paraId="2DCB0BE7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11111"/>
        </w:rPr>
      </w:pPr>
    </w:p>
    <w:p w14:paraId="619461C6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>Pan fydd awdurdod cyhoeddus yn cael cais am wybodaeth sy’n ddata personol am ei weithwyr, rhaid iddo benderfynu a fyddai datgelu yn torri Egwyddor 1 y Ddeddf Diogelu Data – hynny yw, a fyddai datgelu’r wybodaeth yn weithred deg a chyfreithlon. Bydd p’un a yw’r datgeliad yn deg yn dibynnu ar nifer o ffactorau, gan gynnwys:</w:t>
      </w:r>
    </w:p>
    <w:p w14:paraId="1477E65D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 xml:space="preserve"> </w:t>
      </w: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a yw’n ddata personol sensitif;</w:t>
      </w:r>
    </w:p>
    <w:p w14:paraId="56CD33CF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 xml:space="preserve"> </w:t>
      </w: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canlyniadau datgelu;</w:t>
      </w:r>
    </w:p>
    <w:p w14:paraId="1949649E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b/>
          <w:bCs/>
          <w:highlight w:val="lightGray"/>
        </w:rPr>
      </w:pPr>
      <w:r>
        <w:rPr>
          <w:b/>
          <w:highlight w:val="lightGray"/>
        </w:rPr>
        <w:t xml:space="preserve"> </w:t>
      </w: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disgwyliadau rhesymol y gweithwyr; a hefyd </w:t>
      </w:r>
    </w:p>
    <w:p w14:paraId="2FA5C1C3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highlight w:val="lightGray"/>
        </w:rPr>
        <w:sym w:font="Symbol" w:char="F0B7"/>
      </w:r>
      <w:r>
        <w:rPr>
          <w:b/>
          <w:highlight w:val="lightGray"/>
        </w:rPr>
        <w:t xml:space="preserve"> a oes buddiant dilys gan y cyhoedd neu’r sawl sy’n gofyn am gael gweld yr wybodaeth a’r cydbwysedd rhwng hyn a hawliau a rhyddid gwrthrych y data.</w:t>
      </w:r>
    </w:p>
    <w:p w14:paraId="050730CF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7FE815F0" w14:textId="01E053E3" w:rsidR="00D226C0" w:rsidRPr="004C5A5B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11111"/>
        </w:rPr>
      </w:pPr>
      <w:r>
        <w:rPr>
          <w:rStyle w:val="Strong"/>
          <w:b w:val="0"/>
          <w:color w:val="111111"/>
        </w:rPr>
        <w:t>Yn yr achos hwn, rydym wedi nodi bod enwau, rhifau ffôn a chyfeiriadau e-bost y staff sydd wedi’u cynnwys yn y ddogfen hon yn ddata personol AC y BYDDAI rhyddhau’r wybodaeth hon yn mynd yn groes i egwyddor gyntaf y Ddeddf Diogelu Data. Felly, mae’r wybodaeth honno wedi cael ei hepgor.</w:t>
      </w:r>
    </w:p>
    <w:p w14:paraId="059EA6DB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color w:val="111111"/>
        </w:rPr>
      </w:pPr>
    </w:p>
    <w:p w14:paraId="3273CD0B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</w:pPr>
      <w:r>
        <w:t xml:space="preserve">Mae’n bwysig cofio bod datgelu gwybodaeth bersonol o dan y Ddeddf Rhyddid Gwybodaeth yn gyfystyr â'r “byd yn gyffredinol”. </w:t>
      </w:r>
    </w:p>
    <w:p w14:paraId="1F8DDC4A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</w:pPr>
      <w:r>
        <w:t>Y cwestiwn allweddol wrth ddatgelu gwybodaeth bersonol yw beth fydd y niwed a fydd yn deillio o ddatgelu.</w:t>
      </w:r>
    </w:p>
    <w:p w14:paraId="2048CCB0" w14:textId="77777777" w:rsidR="00D226C0" w:rsidRDefault="00D226C0" w:rsidP="00D226C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555"/>
          <w:sz w:val="21"/>
          <w:szCs w:val="21"/>
        </w:rPr>
      </w:pPr>
    </w:p>
    <w:p w14:paraId="23E1528F" w14:textId="77777777" w:rsidR="00D226C0" w:rsidRPr="002F682B" w:rsidRDefault="00D226C0" w:rsidP="00D226C0">
      <w:pPr>
        <w:spacing w:after="0"/>
        <w:rPr>
          <w:rFonts w:cstheme="minorHAnsi"/>
        </w:rPr>
      </w:pPr>
      <w:r>
        <w:t>Ni fyddai gan yr unigolion dan sylw unrhyw ddisgwyliad y byddai eu henw'n cael ei ryddhau i’r cyhoedd.</w:t>
      </w:r>
    </w:p>
    <w:p w14:paraId="2EA6F5EF" w14:textId="77777777" w:rsidR="00694B7B" w:rsidRDefault="00694B7B" w:rsidP="156E0B0A">
      <w:pPr>
        <w:spacing w:after="0" w:line="240" w:lineRule="auto"/>
      </w:pPr>
    </w:p>
    <w:p w14:paraId="1E69CCC6" w14:textId="6775D631" w:rsidR="008604F8" w:rsidRPr="00FE7832" w:rsidRDefault="00230F7F" w:rsidP="156E0B0A">
      <w:pPr>
        <w:spacing w:after="0" w:line="240" w:lineRule="auto"/>
      </w:pPr>
      <w:r>
        <w:t>Nid oes gan Trafnidiaeth Cymru (</w:t>
      </w:r>
      <w:proofErr w:type="spellStart"/>
      <w:r>
        <w:t>TrC</w:t>
      </w:r>
      <w:proofErr w:type="spellEnd"/>
      <w:r>
        <w:t xml:space="preserve">) ohebiaeth gan West </w:t>
      </w:r>
      <w:proofErr w:type="spellStart"/>
      <w:r>
        <w:t>Midlands</w:t>
      </w:r>
      <w:proofErr w:type="spellEnd"/>
      <w:r>
        <w:t xml:space="preserve"> ynghylch gwrthod gadael i </w:t>
      </w:r>
      <w:proofErr w:type="spellStart"/>
      <w:r>
        <w:t>TrC</w:t>
      </w:r>
      <w:proofErr w:type="spellEnd"/>
      <w:r>
        <w:t xml:space="preserve"> ddefnyddio'r ramp.</w:t>
      </w:r>
    </w:p>
    <w:p w14:paraId="6DAEDC95" w14:textId="77777777" w:rsidR="009B27D2" w:rsidRPr="00FE7832" w:rsidRDefault="009B27D2" w:rsidP="156E0B0A">
      <w:pPr>
        <w:spacing w:after="0" w:line="240" w:lineRule="auto"/>
      </w:pPr>
    </w:p>
    <w:p w14:paraId="0D9CCB65" w14:textId="1ED4D119" w:rsidR="009B27D2" w:rsidRDefault="009B27D2" w:rsidP="156E0B0A">
      <w:pPr>
        <w:spacing w:after="0" w:line="240" w:lineRule="auto"/>
      </w:pPr>
      <w:r>
        <w:t>Gweler yr wybodaeth isod gan reolwr yr orsaf, a ddarperir i chi y tu allan i'r ddeddf -</w:t>
      </w:r>
    </w:p>
    <w:p w14:paraId="5F2FA44B" w14:textId="77777777" w:rsidR="00230F7F" w:rsidRDefault="00230F7F" w:rsidP="156E0B0A">
      <w:pPr>
        <w:spacing w:after="0" w:line="240" w:lineRule="auto"/>
      </w:pPr>
    </w:p>
    <w:p w14:paraId="012F65DE" w14:textId="5384421E" w:rsidR="00230F7F" w:rsidRPr="00230F7F" w:rsidRDefault="00230F7F" w:rsidP="00230F7F">
      <w:pPr>
        <w:spacing w:after="0" w:line="240" w:lineRule="auto"/>
        <w:rPr>
          <w:i/>
          <w:iCs/>
        </w:rPr>
      </w:pPr>
      <w:r>
        <w:rPr>
          <w:i/>
        </w:rPr>
        <w:t xml:space="preserve">Roedd trenau </w:t>
      </w:r>
      <w:proofErr w:type="spellStart"/>
      <w:r>
        <w:rPr>
          <w:i/>
        </w:rPr>
        <w:t>Class</w:t>
      </w:r>
      <w:proofErr w:type="spellEnd"/>
      <w:r>
        <w:rPr>
          <w:i/>
        </w:rPr>
        <w:t xml:space="preserve"> 196 wedi dechrau cael eu defnyddio cyn trenau </w:t>
      </w:r>
      <w:proofErr w:type="spellStart"/>
      <w:r>
        <w:rPr>
          <w:i/>
        </w:rPr>
        <w:t>Class</w:t>
      </w:r>
      <w:proofErr w:type="spellEnd"/>
      <w:r>
        <w:rPr>
          <w:i/>
        </w:rPr>
        <w:t xml:space="preserve"> 197, ac felly gosodwyd 196 o rampiau yng Ngorsaf Amwythig yn gyntaf. </w:t>
      </w:r>
    </w:p>
    <w:p w14:paraId="5B9F31CD" w14:textId="77777777" w:rsidR="00AD3D29" w:rsidRPr="00AD3D29" w:rsidRDefault="00AD3D29" w:rsidP="00230F7F">
      <w:pPr>
        <w:spacing w:after="0" w:line="240" w:lineRule="auto"/>
        <w:rPr>
          <w:i/>
          <w:iCs/>
          <w:lang w:val="en-US"/>
        </w:rPr>
      </w:pPr>
    </w:p>
    <w:p w14:paraId="62301C10" w14:textId="09E2C4A9" w:rsidR="00230F7F" w:rsidRPr="00230F7F" w:rsidRDefault="00230F7F" w:rsidP="00230F7F">
      <w:pPr>
        <w:spacing w:after="0" w:line="240" w:lineRule="auto"/>
        <w:rPr>
          <w:i/>
          <w:iCs/>
        </w:rPr>
      </w:pPr>
      <w:r>
        <w:rPr>
          <w:i/>
        </w:rPr>
        <w:t xml:space="preserve">Mae padiau </w:t>
      </w:r>
      <w:proofErr w:type="spellStart"/>
      <w:r>
        <w:rPr>
          <w:i/>
        </w:rPr>
        <w:t>grip</w:t>
      </w:r>
      <w:proofErr w:type="spellEnd"/>
      <w:r>
        <w:rPr>
          <w:i/>
        </w:rPr>
        <w:t xml:space="preserve"> y rampiau ychydig yn wahanol, a’r platiau pontio yw’r prif wahaniaeth. </w:t>
      </w:r>
    </w:p>
    <w:p w14:paraId="6AB18340" w14:textId="77777777" w:rsidR="00230F7F" w:rsidRPr="00230F7F" w:rsidRDefault="00230F7F" w:rsidP="00230F7F">
      <w:pPr>
        <w:spacing w:after="0" w:line="240" w:lineRule="auto"/>
        <w:rPr>
          <w:i/>
          <w:iCs/>
          <w:lang w:val="en-US"/>
        </w:rPr>
      </w:pPr>
    </w:p>
    <w:p w14:paraId="37052E9A" w14:textId="77777777" w:rsidR="00230F7F" w:rsidRPr="00230F7F" w:rsidRDefault="00230F7F" w:rsidP="00230F7F">
      <w:pPr>
        <w:spacing w:after="0" w:line="240" w:lineRule="auto"/>
        <w:rPr>
          <w:i/>
          <w:iCs/>
        </w:rPr>
      </w:pPr>
      <w:r>
        <w:rPr>
          <w:i/>
        </w:rPr>
        <w:t xml:space="preserve">Gan ein bod yn aml yn helpu nifer o bobl ar yr un pryd, gyda gwasanaeth West </w:t>
      </w:r>
      <w:proofErr w:type="spellStart"/>
      <w:r>
        <w:rPr>
          <w:i/>
        </w:rPr>
        <w:t>Midlands</w:t>
      </w:r>
      <w:proofErr w:type="spellEnd"/>
      <w:r>
        <w:rPr>
          <w:i/>
        </w:rPr>
        <w:t xml:space="preserve"> yn gorffen yn ein baeau a’r trenau </w:t>
      </w:r>
      <w:proofErr w:type="spellStart"/>
      <w:r>
        <w:rPr>
          <w:i/>
        </w:rPr>
        <w:t>Class</w:t>
      </w:r>
      <w:proofErr w:type="spellEnd"/>
      <w:r>
        <w:rPr>
          <w:i/>
        </w:rPr>
        <w:t xml:space="preserve"> 197 yn defnyddio'r prif blatfformau, mae'r rampiau unigol yn aml yn cael eu defnyddio ar yr un pryd. Yn enwedig os yw'r man sy'n hygyrch i gadeiriau olwyn ar wasanaeth West </w:t>
      </w:r>
      <w:proofErr w:type="spellStart"/>
      <w:r>
        <w:rPr>
          <w:i/>
        </w:rPr>
        <w:t>Midlands</w:t>
      </w:r>
      <w:proofErr w:type="spellEnd"/>
      <w:r>
        <w:rPr>
          <w:i/>
        </w:rPr>
        <w:t xml:space="preserve"> ym mhen draw ochr ddeheuol platfformau 5 a 6, byddai'n anodd iawn helpu teithiwr i fynd ar y trên/dod oddi arno ym mhen deheuol y bae, a chael teithiwr yn aros ym mhen gogleddol y platfformau. </w:t>
      </w:r>
    </w:p>
    <w:p w14:paraId="706B7B78" w14:textId="77777777" w:rsidR="003739EE" w:rsidRDefault="003739EE" w:rsidP="156E0B0A">
      <w:pPr>
        <w:spacing w:after="0" w:line="240" w:lineRule="auto"/>
      </w:pPr>
    </w:p>
    <w:p w14:paraId="2387B6CB" w14:textId="1AFAAD4C" w:rsidR="00F03A27" w:rsidRDefault="00F03A27" w:rsidP="156E0B0A">
      <w:pPr>
        <w:spacing w:after="0" w:line="240" w:lineRule="auto"/>
        <w:rPr>
          <w:u w:val="single"/>
        </w:rPr>
      </w:pPr>
      <w:r>
        <w:rPr>
          <w:u w:val="single"/>
        </w:rPr>
        <w:t>Cwestiwn 2</w:t>
      </w:r>
    </w:p>
    <w:p w14:paraId="67CA67A3" w14:textId="77777777" w:rsidR="00F03A27" w:rsidRDefault="00F03A27" w:rsidP="156E0B0A">
      <w:pPr>
        <w:spacing w:after="0" w:line="240" w:lineRule="auto"/>
        <w:rPr>
          <w:u w:val="single"/>
        </w:rPr>
      </w:pPr>
    </w:p>
    <w:p w14:paraId="04AC5072" w14:textId="77777777" w:rsidR="00F03A27" w:rsidRPr="00F03A27" w:rsidRDefault="00F03A27" w:rsidP="00F03A27">
      <w:pPr>
        <w:spacing w:after="0" w:line="240" w:lineRule="auto"/>
      </w:pPr>
      <w:r>
        <w:t>Cafodd y gwaith gosod yn Amwythig ei gwblhau ar 4 Ionawr 2024, ac mae’r costau gwariant cyfalaf (ac eithrio’r gwaith cynnal a chadw) wedi’u hamlinellu isod:</w:t>
      </w:r>
    </w:p>
    <w:p w14:paraId="6196DFB5" w14:textId="77777777" w:rsidR="00F03A27" w:rsidRPr="00F03A27" w:rsidRDefault="00F03A27" w:rsidP="00F03A27">
      <w:pPr>
        <w:spacing w:after="0" w:line="240" w:lineRule="auto"/>
      </w:pPr>
    </w:p>
    <w:p w14:paraId="741108BA" w14:textId="77777777" w:rsidR="00F03A27" w:rsidRPr="00F03A27" w:rsidRDefault="00F03A27" w:rsidP="00F03A27">
      <w:pPr>
        <w:spacing w:after="0" w:line="240" w:lineRule="auto"/>
      </w:pPr>
      <w:r>
        <w:t>Arolwg £400</w:t>
      </w:r>
    </w:p>
    <w:p w14:paraId="4C88CFF0" w14:textId="77777777" w:rsidR="00F03A27" w:rsidRPr="00F03A27" w:rsidRDefault="00F03A27" w:rsidP="00F03A27">
      <w:pPr>
        <w:spacing w:after="0" w:line="240" w:lineRule="auto"/>
      </w:pPr>
      <w:r>
        <w:t>Rampiau Hygyrchedd ar gyfer Trenau £685 * 5 = £3425</w:t>
      </w:r>
    </w:p>
    <w:p w14:paraId="379E1A81" w14:textId="77777777" w:rsidR="00F03A27" w:rsidRPr="00F03A27" w:rsidRDefault="00F03A27" w:rsidP="00F03A27">
      <w:pPr>
        <w:spacing w:after="0" w:line="240" w:lineRule="auto"/>
      </w:pPr>
      <w:r>
        <w:t>Gorchudd ac Astell Dyfais Cloi (</w:t>
      </w:r>
      <w:proofErr w:type="spellStart"/>
      <w:r>
        <w:t>Locking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Hood</w:t>
      </w:r>
      <w:proofErr w:type="spellEnd"/>
      <w:r>
        <w:t xml:space="preserve"> &amp; </w:t>
      </w:r>
      <w:proofErr w:type="spellStart"/>
      <w:r>
        <w:t>Tray</w:t>
      </w:r>
      <w:proofErr w:type="spellEnd"/>
      <w:r>
        <w:t>) £225*5 = £1125</w:t>
      </w:r>
    </w:p>
    <w:p w14:paraId="476BAB6B" w14:textId="77777777" w:rsidR="00F03A27" w:rsidRPr="00F03A27" w:rsidRDefault="00F03A27" w:rsidP="00F03A27">
      <w:pPr>
        <w:spacing w:after="0" w:line="240" w:lineRule="auto"/>
      </w:pPr>
      <w:r>
        <w:t>Gwaith Gosod £350 * 5 = £1750</w:t>
      </w:r>
    </w:p>
    <w:p w14:paraId="089BF893" w14:textId="77777777" w:rsidR="00F03A27" w:rsidRPr="00F03A27" w:rsidRDefault="00F03A27" w:rsidP="00F03A27">
      <w:pPr>
        <w:spacing w:after="0" w:line="240" w:lineRule="auto"/>
      </w:pPr>
      <w:r>
        <w:t>Platiau Pontio £395 * 5 = £1975</w:t>
      </w:r>
    </w:p>
    <w:p w14:paraId="629BC491" w14:textId="77777777" w:rsidR="00F03A27" w:rsidRPr="00F03A27" w:rsidRDefault="00F03A27" w:rsidP="00F03A27">
      <w:pPr>
        <w:spacing w:after="0" w:line="240" w:lineRule="auto"/>
      </w:pPr>
      <w:r>
        <w:t>Dyfais Cloi £225 * 5 = £1125</w:t>
      </w:r>
    </w:p>
    <w:p w14:paraId="0CD0CC1D" w14:textId="77777777" w:rsidR="00F03A27" w:rsidRPr="00F03A27" w:rsidRDefault="00F03A27" w:rsidP="00F03A27">
      <w:pPr>
        <w:spacing w:after="0" w:line="240" w:lineRule="auto"/>
      </w:pPr>
      <w:r>
        <w:lastRenderedPageBreak/>
        <w:t>Gwaith Gosod £100 * 5 = £500</w:t>
      </w:r>
    </w:p>
    <w:p w14:paraId="41333B6B" w14:textId="77777777" w:rsidR="00F03A27" w:rsidRPr="00F03A27" w:rsidRDefault="00F03A27" w:rsidP="00F03A27">
      <w:pPr>
        <w:spacing w:after="0" w:line="240" w:lineRule="auto"/>
      </w:pPr>
      <w:r>
        <w:t>Cyfanswm Costau £9,900</w:t>
      </w:r>
    </w:p>
    <w:p w14:paraId="47F42C84" w14:textId="77777777" w:rsidR="00F03A27" w:rsidRDefault="00F03A27" w:rsidP="156E0B0A">
      <w:pPr>
        <w:spacing w:after="0" w:line="240" w:lineRule="auto"/>
        <w:rPr>
          <w:u w:val="single"/>
        </w:rPr>
      </w:pPr>
    </w:p>
    <w:p w14:paraId="2E106072" w14:textId="13753A34" w:rsidR="008604F8" w:rsidRDefault="008604F8" w:rsidP="156E0B0A">
      <w:pPr>
        <w:spacing w:after="0" w:line="240" w:lineRule="auto"/>
        <w:rPr>
          <w:u w:val="single"/>
        </w:rPr>
      </w:pPr>
      <w:r>
        <w:rPr>
          <w:u w:val="single"/>
        </w:rPr>
        <w:t>Cwestiwn 3</w:t>
      </w:r>
    </w:p>
    <w:p w14:paraId="17509E7A" w14:textId="77777777" w:rsidR="008604F8" w:rsidRDefault="008604F8" w:rsidP="156E0B0A">
      <w:pPr>
        <w:spacing w:after="0" w:line="240" w:lineRule="auto"/>
        <w:rPr>
          <w:u w:val="single"/>
        </w:rPr>
      </w:pPr>
    </w:p>
    <w:p w14:paraId="5EEAE1C3" w14:textId="77777777" w:rsidR="008604F8" w:rsidRDefault="008604F8" w:rsidP="008604F8">
      <w:pPr>
        <w:spacing w:after="0" w:line="240" w:lineRule="auto"/>
      </w:pPr>
      <w:r>
        <w:t>Nid oes gan Trafnidiaeth Cymru unrhyw ohebiaeth o’r fath.</w:t>
      </w:r>
    </w:p>
    <w:p w14:paraId="433EE52E" w14:textId="77777777" w:rsidR="008604F8" w:rsidRPr="00F03A27" w:rsidRDefault="008604F8" w:rsidP="156E0B0A">
      <w:pPr>
        <w:spacing w:after="0" w:line="240" w:lineRule="auto"/>
        <w:rPr>
          <w:u w:val="single"/>
        </w:rPr>
      </w:pPr>
    </w:p>
    <w:p w14:paraId="71708BA9" w14:textId="45FEAECA" w:rsidR="00F03A27" w:rsidRDefault="00F03A27" w:rsidP="156E0B0A">
      <w:pPr>
        <w:spacing w:after="0" w:line="240" w:lineRule="auto"/>
        <w:rPr>
          <w:u w:val="single"/>
        </w:rPr>
      </w:pPr>
      <w:r>
        <w:rPr>
          <w:u w:val="single"/>
        </w:rPr>
        <w:t>Cwestiwn 4</w:t>
      </w:r>
    </w:p>
    <w:p w14:paraId="71CD54F7" w14:textId="77777777" w:rsidR="00F03A27" w:rsidRDefault="00F03A27" w:rsidP="156E0B0A">
      <w:pPr>
        <w:spacing w:after="0" w:line="240" w:lineRule="auto"/>
        <w:rPr>
          <w:u w:val="single"/>
        </w:rPr>
      </w:pPr>
    </w:p>
    <w:p w14:paraId="2A9B640F" w14:textId="4F847A43" w:rsidR="00F03A27" w:rsidRPr="00F03A27" w:rsidRDefault="00D45D29" w:rsidP="00F03A27">
      <w:pPr>
        <w:spacing w:after="0" w:line="240" w:lineRule="auto"/>
      </w:pPr>
      <w:r>
        <w:t xml:space="preserve">Bydd gan y gorsafoedd canlynol, yn ogystal ag Amwythig, </w:t>
      </w:r>
      <w:proofErr w:type="spellStart"/>
      <w:r>
        <w:t>Class</w:t>
      </w:r>
      <w:proofErr w:type="spellEnd"/>
      <w:r>
        <w:t xml:space="preserve"> 197 ac 196:</w:t>
      </w:r>
    </w:p>
    <w:p w14:paraId="265A52B1" w14:textId="77777777" w:rsidR="00F03A27" w:rsidRPr="00F03A27" w:rsidRDefault="00F03A27" w:rsidP="00F03A27">
      <w:pPr>
        <w:spacing w:after="0" w:line="240" w:lineRule="auto"/>
      </w:pPr>
      <w:r>
        <w:t>Wellington</w:t>
      </w:r>
    </w:p>
    <w:p w14:paraId="72230F76" w14:textId="77777777" w:rsidR="00F03A27" w:rsidRPr="00F03A27" w:rsidRDefault="00F03A27" w:rsidP="00F03A27">
      <w:pPr>
        <w:spacing w:after="0" w:line="240" w:lineRule="auto"/>
      </w:pPr>
      <w:proofErr w:type="spellStart"/>
      <w:r>
        <w:t>Telford</w:t>
      </w:r>
      <w:proofErr w:type="spellEnd"/>
    </w:p>
    <w:p w14:paraId="461526CA" w14:textId="77777777" w:rsidR="00F03A27" w:rsidRPr="00F03A27" w:rsidRDefault="00F03A27" w:rsidP="00F03A27">
      <w:pPr>
        <w:spacing w:after="0" w:line="240" w:lineRule="auto"/>
      </w:pPr>
      <w:proofErr w:type="spellStart"/>
      <w:r>
        <w:t>Wolverhampton</w:t>
      </w:r>
      <w:proofErr w:type="spellEnd"/>
    </w:p>
    <w:p w14:paraId="1BF06D46" w14:textId="2A3C2F86" w:rsidR="00D45D29" w:rsidRDefault="00F03A27" w:rsidP="00F03A27">
      <w:pPr>
        <w:spacing w:after="0" w:line="240" w:lineRule="auto"/>
      </w:pPr>
      <w:proofErr w:type="spellStart"/>
      <w:r>
        <w:t>Sandwell</w:t>
      </w:r>
      <w:proofErr w:type="spellEnd"/>
      <w:r>
        <w:t xml:space="preserve"> </w:t>
      </w:r>
    </w:p>
    <w:p w14:paraId="347DF637" w14:textId="28533A4D" w:rsidR="00F03A27" w:rsidRDefault="00F03A27" w:rsidP="00F03A27">
      <w:pPr>
        <w:spacing w:after="0" w:line="240" w:lineRule="auto"/>
      </w:pPr>
      <w:r>
        <w:t>Dudley</w:t>
      </w:r>
    </w:p>
    <w:p w14:paraId="4F349BF6" w14:textId="1F73134F" w:rsidR="003739EE" w:rsidRDefault="003739EE" w:rsidP="00F03A27">
      <w:pPr>
        <w:spacing w:after="0" w:line="240" w:lineRule="auto"/>
      </w:pPr>
      <w:r>
        <w:t>Birmingham New Street a</w:t>
      </w:r>
    </w:p>
    <w:p w14:paraId="6FA8E5AA" w14:textId="13109E6A" w:rsidR="003739EE" w:rsidRDefault="003739EE" w:rsidP="00F03A27">
      <w:pPr>
        <w:spacing w:after="0" w:line="240" w:lineRule="auto"/>
      </w:pPr>
      <w:r>
        <w:t>Birmingham International</w:t>
      </w:r>
    </w:p>
    <w:p w14:paraId="2B3519F8" w14:textId="77777777" w:rsidR="00BB6087" w:rsidRDefault="00BB6087" w:rsidP="00F03A27">
      <w:pPr>
        <w:spacing w:after="0" w:line="240" w:lineRule="auto"/>
      </w:pPr>
    </w:p>
    <w:p w14:paraId="300A5976" w14:textId="4CABC8DA" w:rsidR="00BB6087" w:rsidRPr="00F03A27" w:rsidRDefault="00BB6087" w:rsidP="00F03A27">
      <w:pPr>
        <w:spacing w:after="0" w:line="240" w:lineRule="auto"/>
      </w:pPr>
      <w:r>
        <w:t>Os hoffech chi drafod hyn ymhellach â’n Rheolwr Integreiddio Gweithrediadau, o dan Adran 16 – sef y ddyletswydd i gynghori a chynorthwyo – cofiwch roi gwybod i ni. Gallwn rannu eich manylion â’r Rheolwr Integreiddio Gweithrediadau, a bydd hi’n cysylltu â chi.</w:t>
      </w: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50483" w14:textId="77777777" w:rsidR="0053357F" w:rsidRDefault="0053357F" w:rsidP="0029704C">
      <w:pPr>
        <w:spacing w:after="0" w:line="240" w:lineRule="auto"/>
      </w:pPr>
      <w:r>
        <w:separator/>
      </w:r>
    </w:p>
  </w:endnote>
  <w:endnote w:type="continuationSeparator" w:id="0">
    <w:p w14:paraId="180A75C6" w14:textId="77777777" w:rsidR="0053357F" w:rsidRDefault="0053357F" w:rsidP="0029704C">
      <w:pPr>
        <w:spacing w:after="0" w:line="240" w:lineRule="auto"/>
      </w:pPr>
      <w:r>
        <w:continuationSeparator/>
      </w:r>
    </w:p>
  </w:endnote>
  <w:endnote w:type="continuationNotice" w:id="1">
    <w:p w14:paraId="2A1A45F6" w14:textId="77777777" w:rsidR="0053357F" w:rsidRDefault="005335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18018" w14:textId="77777777" w:rsidR="0053357F" w:rsidRDefault="0053357F" w:rsidP="0029704C">
      <w:pPr>
        <w:spacing w:after="0" w:line="240" w:lineRule="auto"/>
      </w:pPr>
      <w:r>
        <w:separator/>
      </w:r>
    </w:p>
  </w:footnote>
  <w:footnote w:type="continuationSeparator" w:id="0">
    <w:p w14:paraId="01AC4FDA" w14:textId="77777777" w:rsidR="0053357F" w:rsidRDefault="0053357F" w:rsidP="0029704C">
      <w:pPr>
        <w:spacing w:after="0" w:line="240" w:lineRule="auto"/>
      </w:pPr>
      <w:r>
        <w:continuationSeparator/>
      </w:r>
    </w:p>
  </w:footnote>
  <w:footnote w:type="continuationNotice" w:id="1">
    <w:p w14:paraId="2BFF5E82" w14:textId="77777777" w:rsidR="0053357F" w:rsidRDefault="005335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934"/>
    <w:multiLevelType w:val="hybridMultilevel"/>
    <w:tmpl w:val="341CA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"/>
  </w:num>
  <w:num w:numId="4">
    <w:abstractNumId w:val="34"/>
  </w:num>
  <w:num w:numId="5">
    <w:abstractNumId w:val="25"/>
  </w:num>
  <w:num w:numId="6">
    <w:abstractNumId w:val="29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1"/>
  </w:num>
  <w:num w:numId="10">
    <w:abstractNumId w:val="7"/>
  </w:num>
  <w:num w:numId="11">
    <w:abstractNumId w:val="33"/>
  </w:num>
  <w:num w:numId="12">
    <w:abstractNumId w:val="15"/>
  </w:num>
  <w:num w:numId="13">
    <w:abstractNumId w:val="13"/>
  </w:num>
  <w:num w:numId="14">
    <w:abstractNumId w:val="3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22"/>
  </w:num>
  <w:num w:numId="19">
    <w:abstractNumId w:val="12"/>
  </w:num>
  <w:num w:numId="20">
    <w:abstractNumId w:val="23"/>
  </w:num>
  <w:num w:numId="21">
    <w:abstractNumId w:val="4"/>
  </w:num>
  <w:num w:numId="22">
    <w:abstractNumId w:val="3"/>
  </w:num>
  <w:num w:numId="23">
    <w:abstractNumId w:val="6"/>
  </w:num>
  <w:num w:numId="24">
    <w:abstractNumId w:val="24"/>
  </w:num>
  <w:num w:numId="25">
    <w:abstractNumId w:val="26"/>
  </w:num>
  <w:num w:numId="26">
    <w:abstractNumId w:val="9"/>
  </w:num>
  <w:num w:numId="27">
    <w:abstractNumId w:val="11"/>
  </w:num>
  <w:num w:numId="28">
    <w:abstractNumId w:val="10"/>
  </w:num>
  <w:num w:numId="29">
    <w:abstractNumId w:val="35"/>
  </w:num>
  <w:num w:numId="30">
    <w:abstractNumId w:val="5"/>
  </w:num>
  <w:num w:numId="31">
    <w:abstractNumId w:val="19"/>
  </w:num>
  <w:num w:numId="32">
    <w:abstractNumId w:val="28"/>
  </w:num>
  <w:num w:numId="33">
    <w:abstractNumId w:val="32"/>
  </w:num>
  <w:num w:numId="34">
    <w:abstractNumId w:val="20"/>
  </w:num>
  <w:num w:numId="35">
    <w:abstractNumId w:val="36"/>
  </w:num>
  <w:num w:numId="36">
    <w:abstractNumId w:val="30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2E78"/>
    <w:rsid w:val="000234D9"/>
    <w:rsid w:val="000265B0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0E51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30F7F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187D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739EE"/>
    <w:rsid w:val="00375792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05423"/>
    <w:rsid w:val="005229B0"/>
    <w:rsid w:val="00530D71"/>
    <w:rsid w:val="0053128D"/>
    <w:rsid w:val="0053357F"/>
    <w:rsid w:val="00536599"/>
    <w:rsid w:val="005446A4"/>
    <w:rsid w:val="00547C4A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4B7B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604F8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B27D2"/>
    <w:rsid w:val="009C2521"/>
    <w:rsid w:val="009C2579"/>
    <w:rsid w:val="009C283F"/>
    <w:rsid w:val="009C4CBA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B37"/>
    <w:rsid w:val="00A12D5B"/>
    <w:rsid w:val="00A14B43"/>
    <w:rsid w:val="00A1759B"/>
    <w:rsid w:val="00A20006"/>
    <w:rsid w:val="00A236D8"/>
    <w:rsid w:val="00A41C24"/>
    <w:rsid w:val="00A53595"/>
    <w:rsid w:val="00A57132"/>
    <w:rsid w:val="00A57966"/>
    <w:rsid w:val="00A6144F"/>
    <w:rsid w:val="00A621D5"/>
    <w:rsid w:val="00A70333"/>
    <w:rsid w:val="00A70554"/>
    <w:rsid w:val="00A71943"/>
    <w:rsid w:val="00A8347B"/>
    <w:rsid w:val="00A86D7C"/>
    <w:rsid w:val="00A90D11"/>
    <w:rsid w:val="00A96833"/>
    <w:rsid w:val="00AA2750"/>
    <w:rsid w:val="00AA63E7"/>
    <w:rsid w:val="00AD3D29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B6087"/>
    <w:rsid w:val="00BC1EA7"/>
    <w:rsid w:val="00BD0492"/>
    <w:rsid w:val="00BD12DC"/>
    <w:rsid w:val="00BE1084"/>
    <w:rsid w:val="00BE5B50"/>
    <w:rsid w:val="00BF3F0A"/>
    <w:rsid w:val="00C10CEC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26C0"/>
    <w:rsid w:val="00D263B3"/>
    <w:rsid w:val="00D324BB"/>
    <w:rsid w:val="00D32B2D"/>
    <w:rsid w:val="00D3743B"/>
    <w:rsid w:val="00D45D29"/>
    <w:rsid w:val="00D60775"/>
    <w:rsid w:val="00D63AE2"/>
    <w:rsid w:val="00D77F76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90FB4"/>
    <w:rsid w:val="00EC2F27"/>
    <w:rsid w:val="00EE479D"/>
    <w:rsid w:val="00EF058F"/>
    <w:rsid w:val="00EF6693"/>
    <w:rsid w:val="00F03A27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75"/>
    <w:rsid w:val="00FA35C2"/>
    <w:rsid w:val="00FB37D0"/>
    <w:rsid w:val="00FB5B02"/>
    <w:rsid w:val="00FC6CDD"/>
    <w:rsid w:val="00FC704E"/>
    <w:rsid w:val="00FC77F3"/>
    <w:rsid w:val="00FD4627"/>
    <w:rsid w:val="00FE7832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infopath/2007/PartnerControls"/>
    <ds:schemaRef ds:uri="71b84520-2f4a-4240-92c9-4d84398e9fa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4c0ed1d7-e579-4868-9d2f-0a2617519e5d"/>
    <ds:schemaRef ds:uri="http://schemas.microsoft.com/sharepoint/v3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2025-09-24T15:35:00Z</dcterms:created>
  <dcterms:modified xsi:type="dcterms:W3CDTF">2025-09-24T15:35:00Z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